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3" w:firstLineChars="200"/>
        <w:jc w:val="center"/>
        <w:rPr>
          <w:rFonts w:ascii="黑体" w:hAnsi="黑体" w:eastAsia="黑体"/>
          <w:b/>
          <w:bCs/>
          <w:sz w:val="32"/>
          <w:szCs w:val="32"/>
        </w:rPr>
      </w:pPr>
      <w:r>
        <w:rPr>
          <w:rFonts w:hint="eastAsia" w:ascii="黑体" w:hAnsi="黑体" w:eastAsia="黑体"/>
          <w:b/>
          <w:bCs/>
          <w:sz w:val="32"/>
          <w:szCs w:val="32"/>
        </w:rPr>
        <w:t>会计专业人才培养方案</w:t>
      </w:r>
    </w:p>
    <w:p>
      <w:pPr>
        <w:widowControl/>
        <w:spacing w:line="360" w:lineRule="auto"/>
        <w:jc w:val="left"/>
        <w:outlineLvl w:val="0"/>
        <w:rPr>
          <w:rFonts w:hint="eastAsia" w:ascii="黑体" w:hAnsi="黑体" w:eastAsia="黑体"/>
          <w:b/>
          <w:bCs/>
          <w:kern w:val="0"/>
          <w:sz w:val="32"/>
          <w:szCs w:val="32"/>
        </w:rPr>
      </w:pPr>
      <w:r>
        <w:rPr>
          <w:rFonts w:hint="eastAsia" w:ascii="黑体" w:hAnsi="黑体" w:eastAsia="黑体" w:cs="Arial"/>
          <w:b/>
          <w:bCs/>
          <w:kern w:val="0"/>
          <w:sz w:val="32"/>
          <w:szCs w:val="32"/>
        </w:rPr>
        <w:t>一、专业名称及专业代码</w:t>
      </w:r>
    </w:p>
    <w:p>
      <w:pPr>
        <w:widowControl/>
        <w:spacing w:line="360" w:lineRule="auto"/>
        <w:ind w:firstLine="643" w:firstLineChars="200"/>
        <w:jc w:val="left"/>
        <w:rPr>
          <w:rFonts w:hint="eastAsia" w:ascii="宋体" w:hAnsi="宋体"/>
          <w:kern w:val="0"/>
          <w:sz w:val="24"/>
          <w:szCs w:val="24"/>
        </w:rPr>
      </w:pPr>
      <w:r>
        <w:rPr>
          <w:rFonts w:hint="eastAsia" w:ascii="楷体" w:hAnsi="楷体" w:eastAsia="楷体" w:cs="Arial"/>
          <w:b/>
          <w:bCs/>
          <w:kern w:val="0"/>
          <w:sz w:val="32"/>
          <w:szCs w:val="32"/>
        </w:rPr>
        <w:t>（一）、专业名称：</w:t>
      </w:r>
      <w:r>
        <w:rPr>
          <w:rFonts w:hint="eastAsia" w:ascii="宋体" w:hAnsi="宋体" w:cs="Arial"/>
          <w:kern w:val="0"/>
          <w:sz w:val="24"/>
          <w:szCs w:val="24"/>
        </w:rPr>
        <w:t>会计</w:t>
      </w:r>
    </w:p>
    <w:p>
      <w:pPr>
        <w:widowControl/>
        <w:spacing w:line="360" w:lineRule="auto"/>
        <w:ind w:firstLine="643" w:firstLineChars="200"/>
        <w:jc w:val="left"/>
        <w:rPr>
          <w:rFonts w:hint="eastAsia" w:ascii="宋体" w:hAnsi="宋体" w:cs="Arial"/>
          <w:kern w:val="0"/>
          <w:sz w:val="24"/>
          <w:szCs w:val="24"/>
        </w:rPr>
      </w:pPr>
      <w:r>
        <w:rPr>
          <w:rFonts w:hint="eastAsia" w:ascii="楷体" w:hAnsi="楷体" w:eastAsia="楷体" w:cs="Arial"/>
          <w:b/>
          <w:bCs/>
          <w:kern w:val="0"/>
          <w:sz w:val="32"/>
          <w:szCs w:val="32"/>
        </w:rPr>
        <w:t>（二）、专业代码：</w:t>
      </w:r>
      <w:r>
        <w:rPr>
          <w:rFonts w:hint="eastAsia" w:ascii="宋体" w:hAnsi="宋体" w:cs="Arial"/>
          <w:kern w:val="0"/>
          <w:sz w:val="24"/>
          <w:szCs w:val="24"/>
        </w:rPr>
        <w:t>120100</w:t>
      </w:r>
    </w:p>
    <w:p>
      <w:pPr>
        <w:widowControl/>
        <w:spacing w:line="360" w:lineRule="auto"/>
        <w:jc w:val="left"/>
        <w:rPr>
          <w:rFonts w:hint="eastAsia" w:ascii="黑体" w:hAnsi="黑体" w:eastAsia="黑体" w:cs="Arial"/>
          <w:kern w:val="0"/>
          <w:sz w:val="32"/>
          <w:szCs w:val="32"/>
        </w:rPr>
      </w:pPr>
      <w:r>
        <w:rPr>
          <w:rFonts w:hint="eastAsia" w:ascii="黑体" w:hAnsi="黑体" w:eastAsia="黑体" w:cs="Arial"/>
          <w:kern w:val="0"/>
          <w:sz w:val="32"/>
          <w:szCs w:val="32"/>
        </w:rPr>
        <w:t>二、招生对象（入学要求）</w:t>
      </w:r>
    </w:p>
    <w:p>
      <w:pPr>
        <w:widowControl/>
        <w:spacing w:line="360" w:lineRule="auto"/>
        <w:ind w:firstLine="480" w:firstLineChars="200"/>
        <w:jc w:val="left"/>
        <w:rPr>
          <w:rFonts w:hint="eastAsia" w:ascii="宋体" w:hAnsi="宋体" w:cs="Arial"/>
          <w:kern w:val="0"/>
          <w:sz w:val="24"/>
          <w:szCs w:val="24"/>
        </w:rPr>
      </w:pPr>
      <w:r>
        <w:rPr>
          <w:rFonts w:hint="eastAsia" w:ascii="宋体" w:hAnsi="宋体" w:cs="Arial"/>
          <w:kern w:val="0"/>
          <w:sz w:val="24"/>
          <w:szCs w:val="24"/>
        </w:rPr>
        <w:t>应届初中毕业生及同等学历者。</w:t>
      </w:r>
    </w:p>
    <w:p>
      <w:pPr>
        <w:widowControl/>
        <w:spacing w:line="360" w:lineRule="auto"/>
        <w:jc w:val="left"/>
        <w:rPr>
          <w:rFonts w:hint="eastAsia" w:ascii="黑体" w:hAnsi="黑体" w:eastAsia="黑体" w:cs="Arial"/>
          <w:kern w:val="0"/>
          <w:sz w:val="32"/>
          <w:szCs w:val="32"/>
        </w:rPr>
      </w:pPr>
      <w:r>
        <w:rPr>
          <w:rFonts w:hint="eastAsia" w:ascii="黑体" w:hAnsi="黑体" w:eastAsia="黑体" w:cs="Arial"/>
          <w:kern w:val="0"/>
          <w:sz w:val="32"/>
          <w:szCs w:val="32"/>
        </w:rPr>
        <w:t>三、学制</w:t>
      </w:r>
    </w:p>
    <w:p>
      <w:pPr>
        <w:widowControl/>
        <w:spacing w:line="360" w:lineRule="auto"/>
        <w:ind w:firstLine="480" w:firstLineChars="200"/>
        <w:jc w:val="left"/>
        <w:rPr>
          <w:rFonts w:hint="eastAsia" w:ascii="宋体" w:hAnsi="宋体" w:cs="Arial"/>
          <w:kern w:val="0"/>
          <w:sz w:val="24"/>
          <w:szCs w:val="24"/>
        </w:rPr>
      </w:pPr>
      <w:r>
        <w:rPr>
          <w:rFonts w:hint="eastAsia" w:ascii="宋体" w:hAnsi="宋体" w:cs="Arial"/>
          <w:kern w:val="0"/>
          <w:sz w:val="24"/>
          <w:szCs w:val="24"/>
        </w:rPr>
        <w:t>学制：3年</w:t>
      </w:r>
    </w:p>
    <w:p>
      <w:pPr>
        <w:widowControl/>
        <w:spacing w:line="360" w:lineRule="auto"/>
        <w:jc w:val="left"/>
        <w:rPr>
          <w:rFonts w:ascii="黑体" w:hAnsi="黑体" w:eastAsia="黑体" w:cs="Arial"/>
          <w:kern w:val="0"/>
          <w:sz w:val="32"/>
          <w:szCs w:val="32"/>
        </w:rPr>
      </w:pPr>
      <w:r>
        <w:rPr>
          <w:rFonts w:hint="eastAsia" w:ascii="黑体" w:hAnsi="黑体" w:eastAsia="黑体" w:cs="Arial"/>
          <w:kern w:val="0"/>
          <w:sz w:val="32"/>
          <w:szCs w:val="32"/>
        </w:rPr>
        <w:t>四、培养目标</w:t>
      </w:r>
    </w:p>
    <w:p>
      <w:pPr>
        <w:widowControl/>
        <w:spacing w:line="360" w:lineRule="auto"/>
        <w:ind w:firstLine="480" w:firstLineChars="200"/>
        <w:jc w:val="left"/>
        <w:rPr>
          <w:rFonts w:hint="eastAsia" w:ascii="宋体" w:hAnsi="宋体" w:cs="Arial"/>
          <w:kern w:val="0"/>
          <w:sz w:val="24"/>
          <w:szCs w:val="24"/>
        </w:rPr>
      </w:pPr>
      <w:r>
        <w:rPr>
          <w:rFonts w:hint="eastAsia" w:ascii="宋体" w:hAnsi="宋体" w:cs="Arial"/>
          <w:kern w:val="0"/>
          <w:sz w:val="24"/>
          <w:szCs w:val="24"/>
        </w:rPr>
        <w:t>培养具有良好的会计职业道德，熟悉相关法律、法规，具备会计岗位工作所需的基础理论知识及较高会计职业技术能力，毕业后能够较快地从事各种会计、收银、出纳、会计核算账务处理等工作的初级应用型专门人才。</w:t>
      </w:r>
    </w:p>
    <w:p>
      <w:pPr>
        <w:spacing w:beforeLines="50" w:afterLines="50" w:line="360" w:lineRule="auto"/>
        <w:outlineLvl w:val="1"/>
        <w:rPr>
          <w:rFonts w:hint="eastAsia" w:ascii="Arial" w:hAnsi="Arial" w:eastAsia="黑体"/>
          <w:b/>
          <w:bCs/>
          <w:sz w:val="32"/>
          <w:szCs w:val="32"/>
        </w:rPr>
      </w:pPr>
      <w:r>
        <w:rPr>
          <w:rFonts w:hint="eastAsia" w:ascii="黑体" w:hAnsi="黑体" w:eastAsia="黑体"/>
          <w:b/>
          <w:bCs/>
          <w:sz w:val="32"/>
          <w:szCs w:val="32"/>
        </w:rPr>
        <w:t>五、职业岗位（群）工作分析</w:t>
      </w:r>
    </w:p>
    <w:p>
      <w:pPr>
        <w:keepNext/>
        <w:keepLines/>
        <w:widowControl/>
        <w:spacing w:beforeLines="50" w:afterLines="50"/>
        <w:ind w:firstLine="643" w:firstLineChars="200"/>
        <w:jc w:val="left"/>
        <w:outlineLvl w:val="2"/>
        <w:rPr>
          <w:rFonts w:hint="eastAsia" w:ascii="楷体" w:hAnsi="楷体" w:eastAsia="楷体"/>
          <w:b/>
          <w:bCs/>
          <w:kern w:val="0"/>
          <w:sz w:val="32"/>
          <w:szCs w:val="32"/>
        </w:rPr>
      </w:pPr>
      <w:r>
        <w:rPr>
          <w:rFonts w:hint="eastAsia" w:ascii="楷体" w:hAnsi="楷体" w:eastAsia="楷体"/>
          <w:b/>
          <w:bCs/>
          <w:kern w:val="0"/>
          <w:sz w:val="32"/>
          <w:szCs w:val="32"/>
        </w:rPr>
        <w:t>（一）职业岗位分析</w:t>
      </w:r>
    </w:p>
    <w:p>
      <w:pPr>
        <w:spacing w:beforeLines="100" w:line="360" w:lineRule="auto"/>
        <w:ind w:firstLine="422" w:firstLineChars="200"/>
        <w:jc w:val="center"/>
        <w:rPr>
          <w:rFonts w:hint="eastAsia" w:ascii="仿宋_GB2312" w:hAnsi="Times New Roman" w:eastAsia="仿宋_GB2312"/>
          <w:b/>
          <w:bCs/>
        </w:rPr>
      </w:pPr>
      <w:r>
        <w:rPr>
          <w:rFonts w:hint="eastAsia" w:ascii="仿宋_GB2312" w:hAnsi="Times New Roman" w:eastAsia="仿宋_GB2312"/>
          <w:b/>
          <w:bCs/>
        </w:rPr>
        <w:t>职业岗位工作能力分析表</w:t>
      </w:r>
    </w:p>
    <w:tbl>
      <w:tblPr>
        <w:tblStyle w:val="5"/>
        <w:tblW w:w="9023"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80"/>
        <w:gridCol w:w="1102"/>
        <w:gridCol w:w="4318"/>
        <w:gridCol w:w="252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jc w:val="center"/>
        </w:trPr>
        <w:tc>
          <w:tcPr>
            <w:tcW w:w="2182" w:type="dxa"/>
            <w:gridSpan w:val="3"/>
            <w:tcBorders>
              <w:top w:val="single" w:color="auto" w:sz="12" w:space="0"/>
              <w:left w:val="single" w:color="auto" w:sz="12" w:space="0"/>
              <w:bottom w:val="single" w:color="auto" w:sz="4" w:space="0"/>
              <w:right w:val="single" w:color="auto" w:sz="4" w:space="0"/>
            </w:tcBorders>
            <w:shd w:val="clear" w:color="auto" w:fill="D9D9D9"/>
            <w:vAlign w:val="center"/>
          </w:tcPr>
          <w:p>
            <w:pPr>
              <w:snapToGrid w:val="0"/>
              <w:spacing w:line="240" w:lineRule="exact"/>
              <w:jc w:val="center"/>
              <w:rPr>
                <w:rFonts w:ascii="仿宋_GB2312" w:hAnsi="新宋体" w:eastAsia="仿宋_GB2312"/>
                <w:b/>
                <w:bCs/>
                <w:sz w:val="18"/>
                <w:szCs w:val="18"/>
              </w:rPr>
            </w:pPr>
            <w:r>
              <w:rPr>
                <w:rFonts w:hint="eastAsia" w:ascii="仿宋_GB2312" w:hAnsi="新宋体" w:eastAsia="仿宋_GB2312"/>
                <w:b/>
                <w:bCs/>
                <w:sz w:val="18"/>
                <w:szCs w:val="18"/>
              </w:rPr>
              <w:t>相关工作岗位</w:t>
            </w:r>
          </w:p>
        </w:tc>
        <w:tc>
          <w:tcPr>
            <w:tcW w:w="4318" w:type="dxa"/>
            <w:tcBorders>
              <w:top w:val="single" w:color="auto" w:sz="12" w:space="0"/>
              <w:left w:val="single" w:color="auto" w:sz="4" w:space="0"/>
              <w:bottom w:val="single" w:color="auto" w:sz="4" w:space="0"/>
              <w:right w:val="single" w:color="auto" w:sz="4" w:space="0"/>
            </w:tcBorders>
            <w:shd w:val="clear" w:color="auto" w:fill="D9D9D9"/>
            <w:vAlign w:val="center"/>
          </w:tcPr>
          <w:p>
            <w:pPr>
              <w:snapToGrid w:val="0"/>
              <w:spacing w:line="240" w:lineRule="exact"/>
              <w:jc w:val="center"/>
              <w:rPr>
                <w:rFonts w:ascii="仿宋_GB2312" w:hAnsi="新宋体" w:eastAsia="仿宋_GB2312"/>
                <w:b/>
                <w:bCs/>
                <w:sz w:val="18"/>
                <w:szCs w:val="18"/>
              </w:rPr>
            </w:pPr>
            <w:r>
              <w:rPr>
                <w:rFonts w:hint="eastAsia" w:ascii="仿宋_GB2312" w:hAnsi="新宋体" w:eastAsia="仿宋_GB2312"/>
                <w:b/>
                <w:bCs/>
                <w:sz w:val="18"/>
                <w:szCs w:val="18"/>
              </w:rPr>
              <w:t>岗位工作任务</w:t>
            </w:r>
          </w:p>
        </w:tc>
        <w:tc>
          <w:tcPr>
            <w:tcW w:w="2523" w:type="dxa"/>
            <w:tcBorders>
              <w:top w:val="single" w:color="auto" w:sz="12" w:space="0"/>
              <w:left w:val="single" w:color="auto" w:sz="4" w:space="0"/>
              <w:bottom w:val="single" w:color="auto" w:sz="4" w:space="0"/>
              <w:right w:val="single" w:color="auto" w:sz="12" w:space="0"/>
            </w:tcBorders>
            <w:shd w:val="clear" w:color="auto" w:fill="D9D9D9"/>
            <w:vAlign w:val="center"/>
          </w:tcPr>
          <w:p>
            <w:pPr>
              <w:snapToGrid w:val="0"/>
              <w:spacing w:line="240" w:lineRule="exact"/>
              <w:jc w:val="center"/>
              <w:rPr>
                <w:rFonts w:ascii="仿宋_GB2312" w:hAnsi="新宋体" w:eastAsia="仿宋_GB2312"/>
                <w:b/>
                <w:bCs/>
                <w:sz w:val="18"/>
                <w:szCs w:val="18"/>
              </w:rPr>
            </w:pPr>
            <w:r>
              <w:rPr>
                <w:rFonts w:hint="eastAsia" w:ascii="仿宋_GB2312" w:hAnsi="新宋体" w:eastAsia="仿宋_GB2312"/>
                <w:b/>
                <w:bCs/>
                <w:sz w:val="18"/>
                <w:szCs w:val="18"/>
              </w:rPr>
              <w:t>职业能力要求及素质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820" w:hRule="atLeast"/>
          <w:jc w:val="center"/>
        </w:trPr>
        <w:tc>
          <w:tcPr>
            <w:tcW w:w="2182" w:type="dxa"/>
            <w:gridSpan w:val="3"/>
            <w:tcBorders>
              <w:top w:val="single" w:color="auto" w:sz="4" w:space="0"/>
              <w:left w:val="single" w:color="auto" w:sz="12" w:space="0"/>
              <w:bottom w:val="single" w:color="auto" w:sz="4" w:space="0"/>
              <w:right w:val="single" w:color="auto" w:sz="4" w:space="0"/>
            </w:tcBorders>
            <w:vAlign w:val="center"/>
          </w:tcPr>
          <w:p>
            <w:pPr>
              <w:spacing w:line="240" w:lineRule="exact"/>
              <w:ind w:firstLine="360" w:firstLineChars="200"/>
              <w:rPr>
                <w:rFonts w:ascii="仿宋_GB2312" w:hAnsi="Times New Roman" w:eastAsia="仿宋_GB2312"/>
                <w:sz w:val="18"/>
                <w:szCs w:val="18"/>
              </w:rPr>
            </w:pPr>
            <w:r>
              <w:rPr>
                <w:rFonts w:hint="eastAsia" w:ascii="仿宋_GB2312" w:hAnsi="Times New Roman" w:eastAsia="仿宋_GB2312"/>
                <w:sz w:val="18"/>
                <w:szCs w:val="18"/>
              </w:rPr>
              <w:t>出纳核算岗位</w:t>
            </w:r>
          </w:p>
        </w:tc>
        <w:tc>
          <w:tcPr>
            <w:tcW w:w="4318" w:type="dxa"/>
            <w:tcBorders>
              <w:top w:val="single" w:color="auto" w:sz="4" w:space="0"/>
              <w:left w:val="single" w:color="auto" w:sz="4" w:space="0"/>
              <w:bottom w:val="single" w:color="auto" w:sz="4" w:space="0"/>
              <w:right w:val="single" w:color="auto" w:sz="4" w:space="0"/>
            </w:tcBorders>
          </w:tcPr>
          <w:p>
            <w:pPr>
              <w:spacing w:line="240" w:lineRule="exact"/>
              <w:rPr>
                <w:rFonts w:ascii="仿宋_GB2312" w:hAnsi="Times New Roman" w:eastAsia="仿宋_GB2312"/>
                <w:sz w:val="18"/>
                <w:szCs w:val="18"/>
              </w:rPr>
            </w:pPr>
            <w:r>
              <w:rPr>
                <w:rFonts w:hint="eastAsia" w:ascii="仿宋_GB2312" w:hAnsi="Times New Roman" w:eastAsia="仿宋_GB2312"/>
                <w:sz w:val="18"/>
                <w:szCs w:val="18"/>
              </w:rPr>
              <w:t>1.负责现金及支票的支付、送存、签发、保管工作，管理银行帐户，保管有关印章、空白收据和空白支票；</w:t>
            </w:r>
          </w:p>
          <w:p>
            <w:pPr>
              <w:spacing w:line="240" w:lineRule="exact"/>
              <w:rPr>
                <w:rFonts w:hint="eastAsia" w:ascii="仿宋_GB2312" w:hAnsi="Times New Roman" w:eastAsia="仿宋_GB2312"/>
                <w:sz w:val="18"/>
                <w:szCs w:val="18"/>
              </w:rPr>
            </w:pPr>
            <w:r>
              <w:rPr>
                <w:rFonts w:hint="eastAsia" w:ascii="仿宋_GB2312" w:hAnsi="Times New Roman" w:eastAsia="仿宋_GB2312"/>
                <w:sz w:val="18"/>
                <w:szCs w:val="18"/>
              </w:rPr>
              <w:t>2.根据财务制度报销结算各项费用；</w:t>
            </w:r>
          </w:p>
          <w:p>
            <w:pPr>
              <w:spacing w:line="240" w:lineRule="exact"/>
              <w:rPr>
                <w:rFonts w:hint="eastAsia" w:ascii="仿宋_GB2312" w:hAnsi="Times New Roman" w:eastAsia="仿宋_GB2312"/>
                <w:sz w:val="18"/>
                <w:szCs w:val="18"/>
              </w:rPr>
            </w:pPr>
            <w:r>
              <w:rPr>
                <w:rFonts w:hint="eastAsia" w:ascii="仿宋_GB2312" w:hAnsi="Times New Roman" w:eastAsia="仿宋_GB2312"/>
                <w:sz w:val="18"/>
                <w:szCs w:val="18"/>
              </w:rPr>
              <w:t>3.定期上缴各种完整的原始凭证，对财务收据进行保管、开立；</w:t>
            </w:r>
          </w:p>
          <w:p>
            <w:pPr>
              <w:spacing w:line="240" w:lineRule="exact"/>
              <w:rPr>
                <w:rFonts w:hint="eastAsia" w:ascii="仿宋_GB2312" w:hAnsi="Times New Roman" w:eastAsia="仿宋_GB2312"/>
                <w:sz w:val="18"/>
                <w:szCs w:val="18"/>
              </w:rPr>
            </w:pPr>
            <w:r>
              <w:rPr>
                <w:rFonts w:hint="eastAsia" w:ascii="仿宋_GB2312" w:hAnsi="Times New Roman" w:eastAsia="仿宋_GB2312"/>
                <w:sz w:val="18"/>
                <w:szCs w:val="18"/>
              </w:rPr>
              <w:t>4.协助会计人员做好每月的税款交纳和工资发放工作；</w:t>
            </w:r>
          </w:p>
          <w:p>
            <w:pPr>
              <w:spacing w:line="240" w:lineRule="exact"/>
              <w:rPr>
                <w:rFonts w:hint="eastAsia" w:ascii="仿宋_GB2312" w:hAnsi="Times New Roman" w:eastAsia="仿宋_GB2312"/>
                <w:sz w:val="18"/>
                <w:szCs w:val="18"/>
              </w:rPr>
            </w:pPr>
            <w:r>
              <w:rPr>
                <w:rFonts w:hint="eastAsia" w:ascii="仿宋_GB2312" w:hAnsi="Times New Roman" w:eastAsia="仿宋_GB2312"/>
                <w:sz w:val="18"/>
                <w:szCs w:val="18"/>
              </w:rPr>
              <w:t>5.登记现金和银行存款日记帐；</w:t>
            </w:r>
          </w:p>
          <w:p>
            <w:pPr>
              <w:spacing w:line="240" w:lineRule="exact"/>
              <w:rPr>
                <w:rFonts w:ascii="仿宋_GB2312" w:hAnsi="Times New Roman" w:eastAsia="仿宋_GB2312"/>
                <w:sz w:val="18"/>
                <w:szCs w:val="18"/>
              </w:rPr>
            </w:pPr>
            <w:r>
              <w:rPr>
                <w:rFonts w:hint="eastAsia" w:ascii="仿宋_GB2312" w:hAnsi="Times New Roman" w:eastAsia="仿宋_GB2312"/>
                <w:sz w:val="18"/>
                <w:szCs w:val="18"/>
              </w:rPr>
              <w:t>6.保管库存现金和各种有价证券。</w:t>
            </w:r>
          </w:p>
        </w:tc>
        <w:tc>
          <w:tcPr>
            <w:tcW w:w="2523" w:type="dxa"/>
            <w:tcBorders>
              <w:top w:val="single" w:color="auto" w:sz="4" w:space="0"/>
              <w:left w:val="single" w:color="auto" w:sz="4" w:space="0"/>
              <w:bottom w:val="single" w:color="auto" w:sz="4" w:space="0"/>
              <w:right w:val="single" w:color="auto" w:sz="12" w:space="0"/>
            </w:tcBorders>
          </w:tcPr>
          <w:p>
            <w:pPr>
              <w:spacing w:line="240" w:lineRule="exact"/>
              <w:ind w:firstLine="360" w:firstLineChars="200"/>
              <w:rPr>
                <w:rFonts w:ascii="仿宋_GB2312" w:hAnsi="Times New Roman" w:eastAsia="仿宋_GB2312"/>
                <w:sz w:val="18"/>
                <w:szCs w:val="18"/>
              </w:rPr>
            </w:pPr>
            <w:r>
              <w:rPr>
                <w:rFonts w:hint="eastAsia" w:ascii="仿宋_GB2312" w:hAnsi="Times New Roman" w:eastAsia="仿宋_GB2312"/>
                <w:sz w:val="18"/>
                <w:szCs w:val="18"/>
              </w:rPr>
              <w:t>出纳人员必须具备良好的职业道德修养；了解和掌握政策法规和财务规章制度；需要很强的操作技巧，如打算盘、用电脑、填支票、点钞票等都需要的基本功。作为专职的出纳员，不但要具备处理一般会计事物的财务会计专业基本知识，还要具备较高的处理出纳事务的出纳专业知识水平和较强的数字运算能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554" w:hRule="atLeast"/>
          <w:jc w:val="center"/>
        </w:trPr>
        <w:tc>
          <w:tcPr>
            <w:tcW w:w="900" w:type="dxa"/>
            <w:vMerge w:val="restart"/>
            <w:tcBorders>
              <w:top w:val="single" w:color="auto" w:sz="4" w:space="0"/>
              <w:left w:val="single" w:color="auto" w:sz="12" w:space="0"/>
              <w:bottom w:val="single" w:color="auto" w:sz="4" w:space="0"/>
              <w:right w:val="single" w:color="auto" w:sz="4" w:space="0"/>
            </w:tcBorders>
            <w:vAlign w:val="center"/>
          </w:tcPr>
          <w:p>
            <w:pPr>
              <w:spacing w:line="240" w:lineRule="exact"/>
              <w:jc w:val="center"/>
              <w:rPr>
                <w:rFonts w:ascii="仿宋_GB2312" w:hAnsi="Times New Roman" w:eastAsia="仿宋_GB2312"/>
                <w:sz w:val="18"/>
                <w:szCs w:val="18"/>
              </w:rPr>
            </w:pPr>
            <w:r>
              <w:rPr>
                <w:rFonts w:hint="eastAsia" w:ascii="仿宋_GB2312" w:hAnsi="Times New Roman" w:eastAsia="仿宋_GB2312"/>
                <w:sz w:val="18"/>
                <w:szCs w:val="18"/>
              </w:rPr>
              <w:t>存货核算岗位</w:t>
            </w:r>
          </w:p>
        </w:tc>
        <w:tc>
          <w:tcPr>
            <w:tcW w:w="1282"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Times New Roman" w:eastAsia="仿宋_GB2312"/>
                <w:sz w:val="18"/>
                <w:szCs w:val="18"/>
              </w:rPr>
            </w:pPr>
            <w:r>
              <w:rPr>
                <w:rFonts w:hint="eastAsia" w:ascii="仿宋_GB2312" w:hAnsi="Times New Roman" w:eastAsia="仿宋_GB2312"/>
                <w:sz w:val="18"/>
                <w:szCs w:val="18"/>
              </w:rPr>
              <w:t>材料物资核算岗位</w:t>
            </w:r>
          </w:p>
        </w:tc>
        <w:tc>
          <w:tcPr>
            <w:tcW w:w="4318" w:type="dxa"/>
            <w:tcBorders>
              <w:top w:val="single" w:color="auto" w:sz="4" w:space="0"/>
              <w:left w:val="single" w:color="auto" w:sz="4" w:space="0"/>
              <w:bottom w:val="single" w:color="auto" w:sz="4" w:space="0"/>
              <w:right w:val="single" w:color="auto" w:sz="4" w:space="0"/>
            </w:tcBorders>
          </w:tcPr>
          <w:p>
            <w:pPr>
              <w:spacing w:line="240" w:lineRule="exact"/>
              <w:rPr>
                <w:rFonts w:ascii="仿宋_GB2312" w:hAnsi="Times New Roman" w:eastAsia="仿宋_GB2312"/>
                <w:sz w:val="18"/>
                <w:szCs w:val="18"/>
              </w:rPr>
            </w:pPr>
            <w:r>
              <w:rPr>
                <w:rFonts w:hint="eastAsia" w:ascii="仿宋_GB2312" w:hAnsi="Times New Roman" w:eastAsia="仿宋_GB2312"/>
                <w:sz w:val="18"/>
                <w:szCs w:val="18"/>
              </w:rPr>
              <w:t>1.会同有关部门拟订材料物资的核算与管理办法；</w:t>
            </w:r>
          </w:p>
          <w:p>
            <w:pPr>
              <w:spacing w:line="240" w:lineRule="exact"/>
              <w:rPr>
                <w:rFonts w:hint="eastAsia" w:ascii="仿宋_GB2312" w:hAnsi="Times New Roman" w:eastAsia="仿宋_GB2312"/>
                <w:sz w:val="18"/>
                <w:szCs w:val="18"/>
              </w:rPr>
            </w:pPr>
            <w:r>
              <w:rPr>
                <w:rFonts w:hint="eastAsia" w:ascii="仿宋_GB2312" w:hAnsi="Times New Roman" w:eastAsia="仿宋_GB2312"/>
                <w:sz w:val="18"/>
                <w:szCs w:val="18"/>
              </w:rPr>
              <w:t>2.审查汇编材料物资的采购资金计划；</w:t>
            </w:r>
          </w:p>
          <w:p>
            <w:pPr>
              <w:spacing w:line="240" w:lineRule="exact"/>
              <w:rPr>
                <w:rFonts w:hint="eastAsia" w:ascii="仿宋_GB2312" w:hAnsi="Times New Roman" w:eastAsia="仿宋_GB2312"/>
                <w:sz w:val="18"/>
                <w:szCs w:val="18"/>
              </w:rPr>
            </w:pPr>
            <w:r>
              <w:rPr>
                <w:rFonts w:hint="eastAsia" w:ascii="仿宋_GB2312" w:hAnsi="Times New Roman" w:eastAsia="仿宋_GB2312"/>
                <w:sz w:val="18"/>
                <w:szCs w:val="18"/>
              </w:rPr>
              <w:t>3.负责材料物资的明细核算；</w:t>
            </w:r>
          </w:p>
          <w:p>
            <w:pPr>
              <w:spacing w:line="240" w:lineRule="exact"/>
              <w:rPr>
                <w:rFonts w:hint="eastAsia" w:ascii="仿宋_GB2312" w:hAnsi="Times New Roman" w:eastAsia="仿宋_GB2312"/>
                <w:sz w:val="18"/>
                <w:szCs w:val="18"/>
              </w:rPr>
            </w:pPr>
            <w:r>
              <w:rPr>
                <w:rFonts w:hint="eastAsia" w:ascii="仿宋_GB2312" w:hAnsi="Times New Roman" w:eastAsia="仿宋_GB2312"/>
                <w:sz w:val="18"/>
                <w:szCs w:val="18"/>
              </w:rPr>
              <w:t>4.会同有关部门编制材料物资计划成本目录；</w:t>
            </w:r>
          </w:p>
          <w:p>
            <w:pPr>
              <w:spacing w:line="240" w:lineRule="exact"/>
              <w:rPr>
                <w:rFonts w:hint="eastAsia" w:ascii="仿宋_GB2312" w:hAnsi="Times New Roman" w:eastAsia="仿宋_GB2312"/>
                <w:sz w:val="18"/>
                <w:szCs w:val="18"/>
              </w:rPr>
            </w:pPr>
            <w:r>
              <w:rPr>
                <w:rFonts w:hint="eastAsia" w:ascii="仿宋_GB2312" w:hAnsi="Times New Roman" w:eastAsia="仿宋_GB2312"/>
                <w:sz w:val="18"/>
                <w:szCs w:val="18"/>
              </w:rPr>
              <w:t>5.配合有关部门制定材料物资消耗定额；</w:t>
            </w:r>
          </w:p>
          <w:p>
            <w:pPr>
              <w:spacing w:line="240" w:lineRule="exact"/>
              <w:rPr>
                <w:rFonts w:ascii="仿宋_GB2312" w:hAnsi="Times New Roman" w:eastAsia="仿宋_GB2312"/>
                <w:sz w:val="18"/>
                <w:szCs w:val="18"/>
              </w:rPr>
            </w:pPr>
            <w:r>
              <w:rPr>
                <w:rFonts w:hint="eastAsia" w:ascii="仿宋_GB2312" w:hAnsi="Times New Roman" w:eastAsia="仿宋_GB2312"/>
                <w:sz w:val="18"/>
                <w:szCs w:val="18"/>
              </w:rPr>
              <w:t>6.参与材料物资的清查盘点。</w:t>
            </w:r>
          </w:p>
        </w:tc>
        <w:tc>
          <w:tcPr>
            <w:tcW w:w="2523" w:type="dxa"/>
            <w:tcBorders>
              <w:top w:val="single" w:color="auto" w:sz="4" w:space="0"/>
              <w:left w:val="single" w:color="auto" w:sz="4" w:space="0"/>
              <w:bottom w:val="single" w:color="auto" w:sz="4" w:space="0"/>
              <w:right w:val="single" w:color="auto" w:sz="12" w:space="0"/>
            </w:tcBorders>
          </w:tcPr>
          <w:p>
            <w:pPr>
              <w:spacing w:line="240" w:lineRule="exact"/>
              <w:ind w:firstLine="360" w:firstLineChars="200"/>
              <w:rPr>
                <w:rFonts w:ascii="仿宋_GB2312" w:hAnsi="Times New Roman" w:eastAsia="仿宋_GB2312"/>
                <w:sz w:val="18"/>
                <w:szCs w:val="18"/>
              </w:rPr>
            </w:pPr>
            <w:r>
              <w:rPr>
                <w:rFonts w:hint="eastAsia" w:ascii="仿宋_GB2312" w:hAnsi="Times New Roman" w:eastAsia="仿宋_GB2312"/>
                <w:sz w:val="18"/>
                <w:szCs w:val="18"/>
              </w:rPr>
              <w:t>具有材料物资的采购核算、成本核算；复核存货报表；负责提供材料物资费用的执行情况表。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391" w:hRule="atLeast"/>
          <w:jc w:val="center"/>
        </w:trPr>
        <w:tc>
          <w:tcPr>
            <w:tcW w:w="900" w:type="dxa"/>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仿宋_GB2312" w:hAnsi="Times New Roman" w:eastAsia="仿宋_GB2312"/>
                <w:sz w:val="18"/>
                <w:szCs w:val="18"/>
              </w:rPr>
            </w:pPr>
          </w:p>
        </w:tc>
        <w:tc>
          <w:tcPr>
            <w:tcW w:w="1282"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Times New Roman" w:eastAsia="仿宋_GB2312"/>
                <w:sz w:val="18"/>
                <w:szCs w:val="18"/>
              </w:rPr>
            </w:pPr>
            <w:r>
              <w:rPr>
                <w:rFonts w:hint="eastAsia" w:ascii="仿宋_GB2312" w:hAnsi="Times New Roman" w:eastAsia="仿宋_GB2312"/>
                <w:sz w:val="18"/>
                <w:szCs w:val="18"/>
              </w:rPr>
              <w:t>库存商品核算岗位</w:t>
            </w:r>
          </w:p>
        </w:tc>
        <w:tc>
          <w:tcPr>
            <w:tcW w:w="4318" w:type="dxa"/>
            <w:tcBorders>
              <w:top w:val="single" w:color="auto" w:sz="4" w:space="0"/>
              <w:left w:val="single" w:color="auto" w:sz="4" w:space="0"/>
              <w:bottom w:val="single" w:color="auto" w:sz="4" w:space="0"/>
              <w:right w:val="single" w:color="auto" w:sz="4" w:space="0"/>
            </w:tcBorders>
          </w:tcPr>
          <w:p>
            <w:pPr>
              <w:spacing w:line="240" w:lineRule="exact"/>
              <w:rPr>
                <w:rFonts w:ascii="仿宋_GB2312" w:hAnsi="Times New Roman" w:eastAsia="仿宋_GB2312"/>
                <w:sz w:val="18"/>
                <w:szCs w:val="18"/>
              </w:rPr>
            </w:pPr>
            <w:r>
              <w:rPr>
                <w:rFonts w:hint="eastAsia" w:ascii="仿宋_GB2312" w:hAnsi="Times New Roman" w:eastAsia="仿宋_GB2312"/>
                <w:sz w:val="18"/>
                <w:szCs w:val="18"/>
              </w:rPr>
              <w:t>1.负责库存商品的明细分类核算；</w:t>
            </w:r>
          </w:p>
          <w:p>
            <w:pPr>
              <w:spacing w:line="240" w:lineRule="exact"/>
              <w:rPr>
                <w:rFonts w:hint="eastAsia" w:ascii="仿宋_GB2312" w:hAnsi="Times New Roman" w:eastAsia="仿宋_GB2312"/>
                <w:sz w:val="18"/>
                <w:szCs w:val="18"/>
              </w:rPr>
            </w:pPr>
            <w:r>
              <w:rPr>
                <w:rFonts w:hint="eastAsia" w:ascii="仿宋_GB2312" w:hAnsi="Times New Roman" w:eastAsia="仿宋_GB2312"/>
                <w:sz w:val="18"/>
                <w:szCs w:val="18"/>
              </w:rPr>
              <w:t>2.会同有关部门编制库存商品计划成本目录；</w:t>
            </w:r>
          </w:p>
          <w:p>
            <w:pPr>
              <w:spacing w:line="240" w:lineRule="exact"/>
              <w:rPr>
                <w:rFonts w:hint="eastAsia" w:ascii="仿宋_GB2312" w:hAnsi="Times New Roman" w:eastAsia="仿宋_GB2312"/>
                <w:sz w:val="18"/>
                <w:szCs w:val="18"/>
              </w:rPr>
            </w:pPr>
            <w:r>
              <w:rPr>
                <w:rFonts w:hint="eastAsia" w:ascii="仿宋_GB2312" w:hAnsi="Times New Roman" w:eastAsia="仿宋_GB2312"/>
                <w:sz w:val="18"/>
                <w:szCs w:val="18"/>
              </w:rPr>
              <w:t>3.配合有关部门制定库存商品的最高、最低限额；</w:t>
            </w:r>
          </w:p>
          <w:p>
            <w:pPr>
              <w:spacing w:line="240" w:lineRule="exact"/>
              <w:rPr>
                <w:rFonts w:ascii="仿宋_GB2312" w:hAnsi="Times New Roman" w:eastAsia="仿宋_GB2312"/>
                <w:sz w:val="18"/>
                <w:szCs w:val="18"/>
              </w:rPr>
            </w:pPr>
            <w:r>
              <w:rPr>
                <w:rFonts w:hint="eastAsia" w:ascii="仿宋_GB2312" w:hAnsi="Times New Roman" w:eastAsia="仿宋_GB2312"/>
                <w:sz w:val="18"/>
                <w:szCs w:val="18"/>
              </w:rPr>
              <w:t xml:space="preserve">4.参与库存商品的清查盘点。 </w:t>
            </w:r>
          </w:p>
        </w:tc>
        <w:tc>
          <w:tcPr>
            <w:tcW w:w="2523" w:type="dxa"/>
            <w:tcBorders>
              <w:top w:val="single" w:color="auto" w:sz="4" w:space="0"/>
              <w:left w:val="single" w:color="auto" w:sz="4" w:space="0"/>
              <w:bottom w:val="single" w:color="auto" w:sz="4" w:space="0"/>
              <w:right w:val="single" w:color="auto" w:sz="12" w:space="0"/>
            </w:tcBorders>
          </w:tcPr>
          <w:p>
            <w:pPr>
              <w:spacing w:line="240" w:lineRule="exact"/>
              <w:ind w:firstLine="360" w:firstLineChars="200"/>
              <w:rPr>
                <w:rFonts w:ascii="仿宋_GB2312" w:hAnsi="Times New Roman" w:eastAsia="仿宋_GB2312"/>
                <w:sz w:val="18"/>
                <w:szCs w:val="18"/>
              </w:rPr>
            </w:pPr>
            <w:r>
              <w:rPr>
                <w:rFonts w:hint="eastAsia" w:ascii="仿宋_GB2312" w:hAnsi="Times New Roman" w:eastAsia="仿宋_GB2312"/>
                <w:sz w:val="18"/>
                <w:szCs w:val="18"/>
              </w:rPr>
              <w:t>库存商品的核算方法、核算过程；编制库存商品计划成本目；录制定库存商品的最高、最低限额；库存商品的清查盘点。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109" w:hRule="atLeast"/>
          <w:jc w:val="center"/>
        </w:trPr>
        <w:tc>
          <w:tcPr>
            <w:tcW w:w="2182" w:type="dxa"/>
            <w:gridSpan w:val="3"/>
            <w:tcBorders>
              <w:top w:val="single" w:color="auto" w:sz="4" w:space="0"/>
              <w:left w:val="single" w:color="auto" w:sz="12" w:space="0"/>
              <w:bottom w:val="single" w:color="auto" w:sz="4" w:space="0"/>
              <w:right w:val="single" w:color="auto" w:sz="4" w:space="0"/>
            </w:tcBorders>
            <w:vAlign w:val="center"/>
          </w:tcPr>
          <w:p>
            <w:pPr>
              <w:spacing w:line="240" w:lineRule="exact"/>
              <w:jc w:val="center"/>
              <w:rPr>
                <w:rFonts w:ascii="仿宋_GB2312" w:hAnsi="Times New Roman" w:eastAsia="仿宋_GB2312"/>
                <w:sz w:val="18"/>
                <w:szCs w:val="18"/>
              </w:rPr>
            </w:pPr>
            <w:r>
              <w:rPr>
                <w:rFonts w:hint="eastAsia" w:ascii="仿宋_GB2312" w:hAnsi="Times New Roman" w:eastAsia="仿宋_GB2312"/>
                <w:sz w:val="18"/>
                <w:szCs w:val="18"/>
              </w:rPr>
              <w:t>成本核算岗位</w:t>
            </w:r>
          </w:p>
        </w:tc>
        <w:tc>
          <w:tcPr>
            <w:tcW w:w="4318" w:type="dxa"/>
            <w:tcBorders>
              <w:top w:val="single" w:color="auto" w:sz="4" w:space="0"/>
              <w:left w:val="single" w:color="auto" w:sz="4" w:space="0"/>
              <w:bottom w:val="single" w:color="auto" w:sz="4" w:space="0"/>
              <w:right w:val="single" w:color="auto" w:sz="4" w:space="0"/>
            </w:tcBorders>
          </w:tcPr>
          <w:p>
            <w:pPr>
              <w:spacing w:line="240" w:lineRule="exact"/>
              <w:rPr>
                <w:rFonts w:ascii="仿宋_GB2312" w:hAnsi="Times New Roman" w:eastAsia="仿宋_GB2312"/>
                <w:sz w:val="18"/>
                <w:szCs w:val="18"/>
              </w:rPr>
            </w:pPr>
            <w:r>
              <w:rPr>
                <w:rFonts w:hint="eastAsia" w:ascii="仿宋_GB2312" w:hAnsi="Times New Roman" w:eastAsia="仿宋_GB2312"/>
                <w:sz w:val="18"/>
                <w:szCs w:val="18"/>
              </w:rPr>
              <w:t xml:space="preserve">1.核对各项原材料、物品、产成品、在产品入库领用事项及收付金额； </w:t>
            </w:r>
          </w:p>
          <w:p>
            <w:pPr>
              <w:spacing w:line="240" w:lineRule="exact"/>
              <w:rPr>
                <w:rFonts w:hint="eastAsia" w:ascii="仿宋_GB2312" w:hAnsi="Times New Roman" w:eastAsia="仿宋_GB2312"/>
                <w:sz w:val="18"/>
                <w:szCs w:val="18"/>
              </w:rPr>
            </w:pPr>
            <w:r>
              <w:rPr>
                <w:rFonts w:hint="eastAsia" w:ascii="仿宋_GB2312" w:hAnsi="Times New Roman" w:eastAsia="仿宋_GB2312"/>
                <w:sz w:val="18"/>
                <w:szCs w:val="18"/>
              </w:rPr>
              <w:t xml:space="preserve">2.编制材料领用转账凭证； </w:t>
            </w:r>
          </w:p>
          <w:p>
            <w:pPr>
              <w:spacing w:line="240" w:lineRule="exact"/>
              <w:rPr>
                <w:rFonts w:hint="eastAsia" w:ascii="仿宋_GB2312" w:hAnsi="Times New Roman" w:eastAsia="仿宋_GB2312"/>
                <w:sz w:val="18"/>
                <w:szCs w:val="18"/>
              </w:rPr>
            </w:pPr>
            <w:r>
              <w:rPr>
                <w:rFonts w:hint="eastAsia" w:ascii="仿宋_GB2312" w:hAnsi="Times New Roman" w:eastAsia="仿宋_GB2312"/>
                <w:sz w:val="18"/>
                <w:szCs w:val="18"/>
              </w:rPr>
              <w:t xml:space="preserve">3.审核委托及受托外单位加工事项； </w:t>
            </w:r>
          </w:p>
          <w:p>
            <w:pPr>
              <w:spacing w:line="240" w:lineRule="exact"/>
              <w:rPr>
                <w:rFonts w:hint="eastAsia" w:ascii="仿宋_GB2312" w:hAnsi="Times New Roman" w:eastAsia="仿宋_GB2312"/>
                <w:sz w:val="18"/>
                <w:szCs w:val="18"/>
              </w:rPr>
            </w:pPr>
            <w:r>
              <w:rPr>
                <w:rFonts w:hint="eastAsia" w:ascii="仿宋_GB2312" w:hAnsi="Times New Roman" w:eastAsia="仿宋_GB2312"/>
                <w:sz w:val="18"/>
                <w:szCs w:val="18"/>
              </w:rPr>
              <w:t xml:space="preserve">4.计算生产与销售成本及各项费用； </w:t>
            </w:r>
          </w:p>
          <w:p>
            <w:pPr>
              <w:spacing w:line="240" w:lineRule="exact"/>
              <w:rPr>
                <w:rFonts w:hint="eastAsia" w:ascii="仿宋_GB2312" w:hAnsi="Times New Roman" w:eastAsia="仿宋_GB2312"/>
                <w:sz w:val="18"/>
                <w:szCs w:val="18"/>
              </w:rPr>
            </w:pPr>
            <w:r>
              <w:rPr>
                <w:rFonts w:hint="eastAsia" w:ascii="仿宋_GB2312" w:hAnsi="Times New Roman" w:eastAsia="仿宋_GB2312"/>
                <w:sz w:val="18"/>
                <w:szCs w:val="18"/>
              </w:rPr>
              <w:t xml:space="preserve">5.进行成本、费用的分配及账目之间调整； </w:t>
            </w:r>
          </w:p>
          <w:p>
            <w:pPr>
              <w:spacing w:line="240" w:lineRule="exact"/>
              <w:rPr>
                <w:rFonts w:hint="eastAsia" w:ascii="仿宋_GB2312" w:hAnsi="Times New Roman" w:eastAsia="仿宋_GB2312"/>
                <w:sz w:val="18"/>
                <w:szCs w:val="18"/>
              </w:rPr>
            </w:pPr>
            <w:r>
              <w:rPr>
                <w:rFonts w:hint="eastAsia" w:ascii="仿宋_GB2312" w:hAnsi="Times New Roman" w:eastAsia="仿宋_GB2312"/>
                <w:sz w:val="18"/>
                <w:szCs w:val="18"/>
              </w:rPr>
              <w:t xml:space="preserve">6.分析比较销售成本，做好成本日常控制； </w:t>
            </w:r>
          </w:p>
          <w:p>
            <w:pPr>
              <w:spacing w:line="240" w:lineRule="exact"/>
              <w:rPr>
                <w:rFonts w:hint="eastAsia" w:ascii="仿宋_GB2312" w:hAnsi="Times New Roman" w:eastAsia="仿宋_GB2312"/>
                <w:sz w:val="18"/>
                <w:szCs w:val="18"/>
              </w:rPr>
            </w:pPr>
            <w:r>
              <w:rPr>
                <w:rFonts w:hint="eastAsia" w:ascii="仿宋_GB2312" w:hAnsi="Times New Roman" w:eastAsia="仿宋_GB2312"/>
                <w:sz w:val="18"/>
                <w:szCs w:val="18"/>
              </w:rPr>
              <w:t xml:space="preserve">7.进行内部成本核算及业绩考核； </w:t>
            </w:r>
          </w:p>
          <w:p>
            <w:pPr>
              <w:spacing w:line="240" w:lineRule="exact"/>
              <w:rPr>
                <w:rFonts w:hint="eastAsia" w:ascii="仿宋_GB2312" w:hAnsi="Times New Roman" w:eastAsia="仿宋_GB2312"/>
                <w:sz w:val="18"/>
                <w:szCs w:val="18"/>
              </w:rPr>
            </w:pPr>
            <w:r>
              <w:rPr>
                <w:rFonts w:hint="eastAsia" w:ascii="仿宋_GB2312" w:hAnsi="Times New Roman" w:eastAsia="仿宋_GB2312"/>
                <w:sz w:val="18"/>
                <w:szCs w:val="18"/>
              </w:rPr>
              <w:t xml:space="preserve">8.编制公司有关成本报表； </w:t>
            </w:r>
          </w:p>
          <w:p>
            <w:pPr>
              <w:spacing w:line="240" w:lineRule="exact"/>
              <w:rPr>
                <w:rFonts w:ascii="仿宋_GB2312" w:hAnsi="Times New Roman" w:eastAsia="仿宋_GB2312"/>
                <w:sz w:val="18"/>
                <w:szCs w:val="18"/>
              </w:rPr>
            </w:pPr>
            <w:r>
              <w:rPr>
                <w:rFonts w:hint="eastAsia" w:ascii="仿宋_GB2312" w:hAnsi="Times New Roman" w:eastAsia="仿宋_GB2312"/>
                <w:sz w:val="18"/>
                <w:szCs w:val="18"/>
              </w:rPr>
              <w:t>9.其他与成本核算、分析、控制有关的事项。</w:t>
            </w:r>
          </w:p>
        </w:tc>
        <w:tc>
          <w:tcPr>
            <w:tcW w:w="2523" w:type="dxa"/>
            <w:tcBorders>
              <w:top w:val="single" w:color="auto" w:sz="4" w:space="0"/>
              <w:left w:val="single" w:color="auto" w:sz="4" w:space="0"/>
              <w:bottom w:val="single" w:color="auto" w:sz="4" w:space="0"/>
              <w:right w:val="single" w:color="auto" w:sz="12" w:space="0"/>
            </w:tcBorders>
          </w:tcPr>
          <w:p>
            <w:pPr>
              <w:spacing w:line="240" w:lineRule="exact"/>
              <w:ind w:firstLine="360" w:firstLineChars="200"/>
              <w:rPr>
                <w:rFonts w:ascii="仿宋_GB2312" w:hAnsi="Times New Roman" w:eastAsia="仿宋_GB2312"/>
                <w:sz w:val="18"/>
                <w:szCs w:val="18"/>
              </w:rPr>
            </w:pPr>
            <w:r>
              <w:rPr>
                <w:rFonts w:hint="eastAsia" w:ascii="仿宋_GB2312" w:hAnsi="Times New Roman" w:eastAsia="仿宋_GB2312"/>
                <w:sz w:val="18"/>
                <w:szCs w:val="18"/>
              </w:rPr>
              <w:t>能及时收集预算基数；预算成本费用，设置预算表式；成本费用开支审核，登记成本费用台帐，月末对比预算项目，结出差异进度，汇报成本费用。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382" w:hRule="atLeast"/>
          <w:jc w:val="center"/>
        </w:trPr>
        <w:tc>
          <w:tcPr>
            <w:tcW w:w="2182" w:type="dxa"/>
            <w:gridSpan w:val="3"/>
            <w:tcBorders>
              <w:top w:val="single" w:color="auto" w:sz="4" w:space="0"/>
              <w:left w:val="single" w:color="auto" w:sz="12" w:space="0"/>
              <w:bottom w:val="single" w:color="auto" w:sz="4" w:space="0"/>
              <w:right w:val="single" w:color="auto" w:sz="4" w:space="0"/>
            </w:tcBorders>
            <w:vAlign w:val="center"/>
          </w:tcPr>
          <w:p>
            <w:pPr>
              <w:spacing w:line="240" w:lineRule="exact"/>
              <w:jc w:val="center"/>
              <w:rPr>
                <w:rFonts w:ascii="仿宋_GB2312" w:hAnsi="Times New Roman" w:eastAsia="仿宋_GB2312"/>
                <w:sz w:val="18"/>
                <w:szCs w:val="18"/>
              </w:rPr>
            </w:pPr>
            <w:r>
              <w:rPr>
                <w:rFonts w:hint="eastAsia" w:ascii="仿宋_GB2312" w:hAnsi="Times New Roman" w:eastAsia="仿宋_GB2312"/>
                <w:sz w:val="18"/>
                <w:szCs w:val="18"/>
              </w:rPr>
              <w:t>资金核算岗位</w:t>
            </w:r>
          </w:p>
        </w:tc>
        <w:tc>
          <w:tcPr>
            <w:tcW w:w="4318" w:type="dxa"/>
            <w:tcBorders>
              <w:top w:val="single" w:color="auto" w:sz="4" w:space="0"/>
              <w:left w:val="single" w:color="auto" w:sz="4" w:space="0"/>
              <w:bottom w:val="single" w:color="auto" w:sz="4" w:space="0"/>
              <w:right w:val="single" w:color="auto" w:sz="4" w:space="0"/>
            </w:tcBorders>
          </w:tcPr>
          <w:p>
            <w:pPr>
              <w:spacing w:line="240" w:lineRule="exact"/>
              <w:rPr>
                <w:rFonts w:ascii="仿宋_GB2312" w:hAnsi="Times New Roman" w:eastAsia="仿宋_GB2312"/>
                <w:sz w:val="18"/>
                <w:szCs w:val="18"/>
              </w:rPr>
            </w:pPr>
            <w:r>
              <w:rPr>
                <w:rFonts w:hint="eastAsia" w:ascii="仿宋_GB2312" w:hAnsi="Times New Roman" w:eastAsia="仿宋_GB2312"/>
                <w:sz w:val="18"/>
                <w:szCs w:val="18"/>
              </w:rPr>
              <w:t>1.拟订资金管理和核算办法；</w:t>
            </w:r>
          </w:p>
          <w:p>
            <w:pPr>
              <w:spacing w:line="240" w:lineRule="exact"/>
              <w:rPr>
                <w:rFonts w:hint="eastAsia" w:ascii="仿宋_GB2312" w:hAnsi="Times New Roman" w:eastAsia="仿宋_GB2312"/>
                <w:sz w:val="18"/>
                <w:szCs w:val="18"/>
              </w:rPr>
            </w:pPr>
            <w:r>
              <w:rPr>
                <w:rFonts w:hint="eastAsia" w:ascii="仿宋_GB2312" w:hAnsi="Times New Roman" w:eastAsia="仿宋_GB2312"/>
                <w:sz w:val="18"/>
                <w:szCs w:val="18"/>
              </w:rPr>
              <w:t>2.编制资金收支计划；</w:t>
            </w:r>
          </w:p>
          <w:p>
            <w:pPr>
              <w:spacing w:line="240" w:lineRule="exact"/>
              <w:rPr>
                <w:rFonts w:hint="eastAsia" w:ascii="仿宋_GB2312" w:hAnsi="Times New Roman" w:eastAsia="仿宋_GB2312"/>
                <w:sz w:val="18"/>
                <w:szCs w:val="18"/>
              </w:rPr>
            </w:pPr>
            <w:r>
              <w:rPr>
                <w:rFonts w:hint="eastAsia" w:ascii="仿宋_GB2312" w:hAnsi="Times New Roman" w:eastAsia="仿宋_GB2312"/>
                <w:sz w:val="18"/>
                <w:szCs w:val="18"/>
              </w:rPr>
              <w:t>3.负责资金调度；</w:t>
            </w:r>
          </w:p>
          <w:p>
            <w:pPr>
              <w:spacing w:line="240" w:lineRule="exact"/>
              <w:rPr>
                <w:rFonts w:hint="eastAsia" w:ascii="仿宋_GB2312" w:hAnsi="Times New Roman" w:eastAsia="仿宋_GB2312"/>
                <w:sz w:val="18"/>
                <w:szCs w:val="18"/>
              </w:rPr>
            </w:pPr>
            <w:r>
              <w:rPr>
                <w:rFonts w:hint="eastAsia" w:ascii="仿宋_GB2312" w:hAnsi="Times New Roman" w:eastAsia="仿宋_GB2312"/>
                <w:sz w:val="18"/>
                <w:szCs w:val="18"/>
              </w:rPr>
              <w:t>4.负责资金筹集的明细分类核算；</w:t>
            </w:r>
          </w:p>
          <w:p>
            <w:pPr>
              <w:spacing w:line="240" w:lineRule="exact"/>
              <w:rPr>
                <w:rFonts w:ascii="仿宋_GB2312" w:hAnsi="Times New Roman" w:eastAsia="仿宋_GB2312"/>
                <w:sz w:val="18"/>
                <w:szCs w:val="18"/>
              </w:rPr>
            </w:pPr>
            <w:r>
              <w:rPr>
                <w:rFonts w:hint="eastAsia" w:ascii="仿宋_GB2312" w:hAnsi="Times New Roman" w:eastAsia="仿宋_GB2312"/>
                <w:sz w:val="18"/>
                <w:szCs w:val="18"/>
              </w:rPr>
              <w:t>5.负责企业各项投资的明细分类核算。</w:t>
            </w:r>
          </w:p>
        </w:tc>
        <w:tc>
          <w:tcPr>
            <w:tcW w:w="2523" w:type="dxa"/>
            <w:tcBorders>
              <w:top w:val="single" w:color="auto" w:sz="4" w:space="0"/>
              <w:left w:val="single" w:color="auto" w:sz="4" w:space="0"/>
              <w:bottom w:val="single" w:color="auto" w:sz="4" w:space="0"/>
              <w:right w:val="single" w:color="auto" w:sz="12" w:space="0"/>
            </w:tcBorders>
          </w:tcPr>
          <w:p>
            <w:pPr>
              <w:spacing w:line="240" w:lineRule="exact"/>
              <w:ind w:firstLine="360" w:firstLineChars="200"/>
              <w:rPr>
                <w:rFonts w:ascii="仿宋_GB2312" w:hAnsi="Times New Roman" w:eastAsia="仿宋_GB2312"/>
                <w:sz w:val="18"/>
                <w:szCs w:val="18"/>
              </w:rPr>
            </w:pPr>
            <w:r>
              <w:rPr>
                <w:rFonts w:hint="eastAsia" w:ascii="仿宋_GB2312" w:hAnsi="Times New Roman" w:eastAsia="仿宋_GB2312"/>
                <w:sz w:val="18"/>
                <w:szCs w:val="18"/>
              </w:rPr>
              <w:t>具有资金筹集及核算的能力；编制资金收支计划和资金调度能力；拟订资金管理和核算办法的能力。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401" w:hRule="atLeast"/>
          <w:jc w:val="center"/>
        </w:trPr>
        <w:tc>
          <w:tcPr>
            <w:tcW w:w="2182" w:type="dxa"/>
            <w:gridSpan w:val="3"/>
            <w:tcBorders>
              <w:top w:val="single" w:color="auto" w:sz="4" w:space="0"/>
              <w:left w:val="single" w:color="auto" w:sz="12" w:space="0"/>
              <w:bottom w:val="single" w:color="auto" w:sz="4" w:space="0"/>
              <w:right w:val="single" w:color="auto" w:sz="4" w:space="0"/>
            </w:tcBorders>
            <w:vAlign w:val="center"/>
          </w:tcPr>
          <w:p>
            <w:pPr>
              <w:spacing w:line="240" w:lineRule="exact"/>
              <w:jc w:val="center"/>
              <w:rPr>
                <w:rFonts w:ascii="仿宋_GB2312" w:hAnsi="Times New Roman" w:eastAsia="仿宋_GB2312"/>
                <w:sz w:val="18"/>
                <w:szCs w:val="18"/>
              </w:rPr>
            </w:pPr>
            <w:r>
              <w:rPr>
                <w:rFonts w:hint="eastAsia" w:ascii="仿宋_GB2312" w:hAnsi="Times New Roman" w:eastAsia="仿宋_GB2312"/>
                <w:sz w:val="18"/>
                <w:szCs w:val="18"/>
              </w:rPr>
              <w:t>往来核算岗位</w:t>
            </w:r>
          </w:p>
        </w:tc>
        <w:tc>
          <w:tcPr>
            <w:tcW w:w="4318" w:type="dxa"/>
            <w:tcBorders>
              <w:top w:val="single" w:color="auto" w:sz="4" w:space="0"/>
              <w:left w:val="single" w:color="auto" w:sz="4" w:space="0"/>
              <w:bottom w:val="single" w:color="auto" w:sz="4" w:space="0"/>
              <w:right w:val="single" w:color="auto" w:sz="4" w:space="0"/>
            </w:tcBorders>
          </w:tcPr>
          <w:p>
            <w:pPr>
              <w:spacing w:line="240" w:lineRule="exact"/>
              <w:rPr>
                <w:rFonts w:ascii="仿宋_GB2312" w:hAnsi="Times New Roman" w:eastAsia="仿宋_GB2312"/>
                <w:sz w:val="18"/>
                <w:szCs w:val="18"/>
              </w:rPr>
            </w:pPr>
            <w:r>
              <w:rPr>
                <w:rFonts w:hint="eastAsia" w:ascii="仿宋_GB2312" w:hAnsi="Times New Roman" w:eastAsia="仿宋_GB2312"/>
                <w:sz w:val="18"/>
                <w:szCs w:val="18"/>
              </w:rPr>
              <w:t>1.建立往来款项结算手续制度；</w:t>
            </w:r>
          </w:p>
          <w:p>
            <w:pPr>
              <w:spacing w:line="240" w:lineRule="exact"/>
              <w:rPr>
                <w:rFonts w:hint="eastAsia" w:ascii="仿宋_GB2312" w:hAnsi="Times New Roman" w:eastAsia="仿宋_GB2312"/>
                <w:sz w:val="18"/>
                <w:szCs w:val="18"/>
              </w:rPr>
            </w:pPr>
            <w:r>
              <w:rPr>
                <w:rFonts w:hint="eastAsia" w:ascii="仿宋_GB2312" w:hAnsi="Times New Roman" w:eastAsia="仿宋_GB2312"/>
                <w:sz w:val="18"/>
                <w:szCs w:val="18"/>
              </w:rPr>
              <w:t>2.办理往来款项的结算业务；</w:t>
            </w:r>
          </w:p>
          <w:p>
            <w:pPr>
              <w:spacing w:line="240" w:lineRule="exact"/>
              <w:rPr>
                <w:rFonts w:ascii="仿宋_GB2312" w:hAnsi="Times New Roman" w:eastAsia="仿宋_GB2312"/>
                <w:sz w:val="18"/>
                <w:szCs w:val="18"/>
              </w:rPr>
            </w:pPr>
            <w:r>
              <w:rPr>
                <w:rFonts w:hint="eastAsia" w:ascii="仿宋_GB2312" w:hAnsi="Times New Roman" w:eastAsia="仿宋_GB2312"/>
                <w:sz w:val="18"/>
                <w:szCs w:val="18"/>
              </w:rPr>
              <w:t>3.负责往来款项结算的明细核算。</w:t>
            </w:r>
          </w:p>
        </w:tc>
        <w:tc>
          <w:tcPr>
            <w:tcW w:w="2523" w:type="dxa"/>
            <w:tcBorders>
              <w:top w:val="single" w:color="auto" w:sz="4" w:space="0"/>
              <w:left w:val="single" w:color="auto" w:sz="4" w:space="0"/>
              <w:bottom w:val="single" w:color="auto" w:sz="4" w:space="0"/>
              <w:right w:val="single" w:color="auto" w:sz="12" w:space="0"/>
            </w:tcBorders>
          </w:tcPr>
          <w:p>
            <w:pPr>
              <w:spacing w:line="240" w:lineRule="exact"/>
              <w:ind w:firstLine="360" w:firstLineChars="200"/>
              <w:rPr>
                <w:rFonts w:ascii="仿宋_GB2312" w:hAnsi="Times New Roman" w:eastAsia="仿宋_GB2312"/>
                <w:sz w:val="18"/>
                <w:szCs w:val="18"/>
              </w:rPr>
            </w:pPr>
            <w:r>
              <w:rPr>
                <w:rFonts w:hint="eastAsia" w:ascii="仿宋_GB2312" w:hAnsi="Times New Roman" w:eastAsia="仿宋_GB2312"/>
                <w:sz w:val="18"/>
                <w:szCs w:val="18"/>
              </w:rPr>
              <w:t>具有应付、预收款项的核算与管理的能力，应收、预付款项的核算与管理，并具有建立往来款项结算手续制度的能力。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425" w:hRule="atLeast"/>
          <w:jc w:val="center"/>
        </w:trPr>
        <w:tc>
          <w:tcPr>
            <w:tcW w:w="1080" w:type="dxa"/>
            <w:gridSpan w:val="2"/>
            <w:vMerge w:val="restart"/>
            <w:tcBorders>
              <w:top w:val="single" w:color="auto" w:sz="4" w:space="0"/>
              <w:left w:val="single" w:color="auto" w:sz="12" w:space="0"/>
              <w:bottom w:val="single" w:color="auto" w:sz="4" w:space="0"/>
              <w:right w:val="single" w:color="auto" w:sz="4" w:space="0"/>
            </w:tcBorders>
            <w:vAlign w:val="center"/>
          </w:tcPr>
          <w:p>
            <w:pPr>
              <w:spacing w:line="240" w:lineRule="exact"/>
              <w:jc w:val="center"/>
              <w:rPr>
                <w:rFonts w:ascii="仿宋_GB2312" w:hAnsi="Times New Roman" w:eastAsia="仿宋_GB2312"/>
                <w:sz w:val="18"/>
                <w:szCs w:val="18"/>
              </w:rPr>
            </w:pPr>
            <w:r>
              <w:rPr>
                <w:rFonts w:hint="eastAsia" w:ascii="仿宋_GB2312" w:hAnsi="Times New Roman" w:eastAsia="仿宋_GB2312"/>
                <w:sz w:val="18"/>
                <w:szCs w:val="18"/>
              </w:rPr>
              <w:t>报表核算岗位</w:t>
            </w:r>
          </w:p>
        </w:tc>
        <w:tc>
          <w:tcPr>
            <w:tcW w:w="1102"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Times New Roman" w:eastAsia="仿宋_GB2312"/>
                <w:sz w:val="18"/>
                <w:szCs w:val="18"/>
              </w:rPr>
            </w:pPr>
            <w:r>
              <w:rPr>
                <w:rFonts w:hint="eastAsia" w:ascii="仿宋_GB2312" w:hAnsi="Times New Roman" w:eastAsia="仿宋_GB2312"/>
                <w:sz w:val="18"/>
                <w:szCs w:val="18"/>
              </w:rPr>
              <w:t>收入、利润及利润分配核算岗位</w:t>
            </w:r>
          </w:p>
        </w:tc>
        <w:tc>
          <w:tcPr>
            <w:tcW w:w="4318" w:type="dxa"/>
            <w:tcBorders>
              <w:top w:val="single" w:color="auto" w:sz="4" w:space="0"/>
              <w:left w:val="single" w:color="auto" w:sz="4" w:space="0"/>
              <w:bottom w:val="single" w:color="auto" w:sz="4" w:space="0"/>
              <w:right w:val="single" w:color="auto" w:sz="4" w:space="0"/>
            </w:tcBorders>
          </w:tcPr>
          <w:p>
            <w:pPr>
              <w:spacing w:line="240" w:lineRule="exact"/>
              <w:rPr>
                <w:rFonts w:ascii="仿宋_GB2312" w:hAnsi="Times New Roman" w:eastAsia="仿宋_GB2312"/>
                <w:sz w:val="18"/>
                <w:szCs w:val="18"/>
              </w:rPr>
            </w:pPr>
            <w:r>
              <w:rPr>
                <w:rFonts w:hint="eastAsia" w:ascii="仿宋_GB2312" w:hAnsi="Times New Roman" w:eastAsia="仿宋_GB2312"/>
                <w:sz w:val="18"/>
                <w:szCs w:val="18"/>
              </w:rPr>
              <w:t>1.负责编制收入、利润计划；</w:t>
            </w:r>
          </w:p>
          <w:p>
            <w:pPr>
              <w:spacing w:line="240" w:lineRule="exact"/>
              <w:rPr>
                <w:rFonts w:hint="eastAsia" w:ascii="仿宋_GB2312" w:hAnsi="Times New Roman" w:eastAsia="仿宋_GB2312"/>
                <w:sz w:val="18"/>
                <w:szCs w:val="18"/>
              </w:rPr>
            </w:pPr>
            <w:r>
              <w:rPr>
                <w:rFonts w:hint="eastAsia" w:ascii="仿宋_GB2312" w:hAnsi="Times New Roman" w:eastAsia="仿宋_GB2312"/>
                <w:sz w:val="18"/>
                <w:szCs w:val="18"/>
              </w:rPr>
              <w:t>2.办理销售款项结算业务；</w:t>
            </w:r>
          </w:p>
          <w:p>
            <w:pPr>
              <w:spacing w:line="240" w:lineRule="exact"/>
              <w:rPr>
                <w:rFonts w:hint="eastAsia" w:ascii="仿宋_GB2312" w:hAnsi="Times New Roman" w:eastAsia="仿宋_GB2312"/>
                <w:sz w:val="18"/>
                <w:szCs w:val="18"/>
              </w:rPr>
            </w:pPr>
            <w:r>
              <w:rPr>
                <w:rFonts w:hint="eastAsia" w:ascii="仿宋_GB2312" w:hAnsi="Times New Roman" w:eastAsia="仿宋_GB2312"/>
                <w:sz w:val="18"/>
                <w:szCs w:val="18"/>
              </w:rPr>
              <w:t>3.负责收入和利润的明细核算；</w:t>
            </w:r>
          </w:p>
          <w:p>
            <w:pPr>
              <w:spacing w:line="240" w:lineRule="exact"/>
              <w:rPr>
                <w:rFonts w:hint="eastAsia" w:ascii="仿宋_GB2312" w:hAnsi="Times New Roman" w:eastAsia="仿宋_GB2312"/>
                <w:sz w:val="18"/>
                <w:szCs w:val="18"/>
              </w:rPr>
            </w:pPr>
            <w:r>
              <w:rPr>
                <w:rFonts w:hint="eastAsia" w:ascii="仿宋_GB2312" w:hAnsi="Times New Roman" w:eastAsia="仿宋_GB2312"/>
                <w:sz w:val="18"/>
                <w:szCs w:val="18"/>
              </w:rPr>
              <w:t>4.负责利润分配的明细核算；</w:t>
            </w:r>
          </w:p>
          <w:p>
            <w:pPr>
              <w:spacing w:line="240" w:lineRule="exact"/>
              <w:rPr>
                <w:rFonts w:hint="eastAsia" w:ascii="仿宋_GB2312" w:hAnsi="Times New Roman" w:eastAsia="仿宋_GB2312"/>
                <w:sz w:val="18"/>
                <w:szCs w:val="18"/>
              </w:rPr>
            </w:pPr>
            <w:r>
              <w:rPr>
                <w:rFonts w:hint="eastAsia" w:ascii="仿宋_GB2312" w:hAnsi="Times New Roman" w:eastAsia="仿宋_GB2312"/>
                <w:sz w:val="18"/>
                <w:szCs w:val="18"/>
              </w:rPr>
              <w:t>5.编制收入和利润报表；</w:t>
            </w:r>
          </w:p>
          <w:p>
            <w:pPr>
              <w:spacing w:line="240" w:lineRule="exact"/>
              <w:rPr>
                <w:rFonts w:ascii="仿宋_GB2312" w:hAnsi="Times New Roman" w:eastAsia="仿宋_GB2312"/>
                <w:sz w:val="18"/>
                <w:szCs w:val="18"/>
              </w:rPr>
            </w:pPr>
            <w:r>
              <w:rPr>
                <w:rFonts w:hint="eastAsia" w:ascii="仿宋_GB2312" w:hAnsi="Times New Roman" w:eastAsia="仿宋_GB2312"/>
                <w:sz w:val="18"/>
                <w:szCs w:val="18"/>
              </w:rPr>
              <w:t>6.协助有关部门对产成品进行清查盘点。</w:t>
            </w:r>
          </w:p>
        </w:tc>
        <w:tc>
          <w:tcPr>
            <w:tcW w:w="2523" w:type="dxa"/>
            <w:tcBorders>
              <w:top w:val="single" w:color="auto" w:sz="4" w:space="0"/>
              <w:left w:val="single" w:color="auto" w:sz="4" w:space="0"/>
              <w:bottom w:val="single" w:color="auto" w:sz="4" w:space="0"/>
              <w:right w:val="single" w:color="auto" w:sz="12" w:space="0"/>
            </w:tcBorders>
          </w:tcPr>
          <w:p>
            <w:pPr>
              <w:spacing w:line="240" w:lineRule="exact"/>
              <w:ind w:firstLine="360" w:firstLineChars="200"/>
              <w:rPr>
                <w:rFonts w:ascii="仿宋_GB2312" w:hAnsi="Times New Roman" w:eastAsia="仿宋_GB2312"/>
                <w:sz w:val="18"/>
                <w:szCs w:val="18"/>
              </w:rPr>
            </w:pPr>
            <w:r>
              <w:rPr>
                <w:rFonts w:hint="eastAsia" w:ascii="仿宋_GB2312" w:hAnsi="Times New Roman" w:eastAsia="仿宋_GB2312"/>
                <w:sz w:val="18"/>
                <w:szCs w:val="18"/>
              </w:rPr>
              <w:t>具有编制收入、利润计划的能力；收入、利润及利润分配的核算能力；编制收入、利润表的能力。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840" w:hRule="atLeast"/>
          <w:jc w:val="center"/>
        </w:trPr>
        <w:tc>
          <w:tcPr>
            <w:tcW w:w="1080" w:type="dxa"/>
            <w:gridSpan w:val="2"/>
            <w:vMerge w:val="continue"/>
            <w:tcBorders>
              <w:top w:val="single" w:color="auto" w:sz="4" w:space="0"/>
              <w:left w:val="single" w:color="auto" w:sz="12" w:space="0"/>
              <w:bottom w:val="single" w:color="auto" w:sz="4" w:space="0"/>
              <w:right w:val="single" w:color="auto" w:sz="4" w:space="0"/>
            </w:tcBorders>
            <w:vAlign w:val="center"/>
          </w:tcPr>
          <w:p>
            <w:pPr>
              <w:widowControl/>
              <w:jc w:val="left"/>
              <w:rPr>
                <w:rFonts w:ascii="仿宋_GB2312" w:hAnsi="Times New Roman" w:eastAsia="仿宋_GB2312"/>
                <w:sz w:val="18"/>
                <w:szCs w:val="18"/>
              </w:rPr>
            </w:pPr>
          </w:p>
        </w:tc>
        <w:tc>
          <w:tcPr>
            <w:tcW w:w="1102" w:type="dxa"/>
            <w:tcBorders>
              <w:top w:val="single" w:color="auto" w:sz="4" w:space="0"/>
              <w:left w:val="single" w:color="auto" w:sz="4" w:space="0"/>
              <w:bottom w:val="single" w:color="auto" w:sz="12" w:space="0"/>
              <w:right w:val="single" w:color="auto" w:sz="4" w:space="0"/>
            </w:tcBorders>
            <w:vAlign w:val="center"/>
          </w:tcPr>
          <w:p>
            <w:pPr>
              <w:spacing w:line="240" w:lineRule="exact"/>
              <w:jc w:val="center"/>
              <w:rPr>
                <w:rFonts w:ascii="仿宋_GB2312" w:hAnsi="Times New Roman" w:eastAsia="仿宋_GB2312"/>
                <w:sz w:val="18"/>
                <w:szCs w:val="18"/>
              </w:rPr>
            </w:pPr>
            <w:r>
              <w:rPr>
                <w:rFonts w:hint="eastAsia" w:ascii="仿宋_GB2312" w:hAnsi="Times New Roman" w:eastAsia="仿宋_GB2312"/>
                <w:sz w:val="18"/>
                <w:szCs w:val="18"/>
              </w:rPr>
              <w:t>总账报表核算岗位</w:t>
            </w:r>
          </w:p>
        </w:tc>
        <w:tc>
          <w:tcPr>
            <w:tcW w:w="4318" w:type="dxa"/>
            <w:tcBorders>
              <w:top w:val="single" w:color="auto" w:sz="4" w:space="0"/>
              <w:left w:val="single" w:color="auto" w:sz="4" w:space="0"/>
              <w:bottom w:val="single" w:color="auto" w:sz="12" w:space="0"/>
              <w:right w:val="single" w:color="auto" w:sz="4" w:space="0"/>
            </w:tcBorders>
          </w:tcPr>
          <w:p>
            <w:pPr>
              <w:spacing w:line="240" w:lineRule="exact"/>
              <w:rPr>
                <w:rFonts w:ascii="仿宋_GB2312" w:hAnsi="Times New Roman" w:eastAsia="仿宋_GB2312"/>
                <w:sz w:val="18"/>
                <w:szCs w:val="18"/>
              </w:rPr>
            </w:pPr>
            <w:r>
              <w:rPr>
                <w:rFonts w:hint="eastAsia" w:ascii="仿宋_GB2312" w:hAnsi="Times New Roman" w:eastAsia="仿宋_GB2312"/>
                <w:sz w:val="18"/>
                <w:szCs w:val="18"/>
              </w:rPr>
              <w:t>1.按照会计制度规定对各项业务收支进行记帐、算帐、报帐工作，做到手续完备、内容真实、数字准确、帐目清楚、日清月结，按期报出会计报表；</w:t>
            </w:r>
          </w:p>
          <w:p>
            <w:pPr>
              <w:spacing w:line="240" w:lineRule="exact"/>
              <w:rPr>
                <w:rFonts w:hint="eastAsia" w:ascii="仿宋_GB2312" w:hAnsi="Times New Roman" w:eastAsia="仿宋_GB2312"/>
                <w:sz w:val="18"/>
                <w:szCs w:val="18"/>
              </w:rPr>
            </w:pPr>
            <w:r>
              <w:rPr>
                <w:rFonts w:hint="eastAsia" w:ascii="仿宋_GB2312" w:hAnsi="Times New Roman" w:eastAsia="仿宋_GB2312"/>
                <w:sz w:val="18"/>
                <w:szCs w:val="18"/>
              </w:rPr>
              <w:t>2.对各项业务收支实行会计监督，监督、检查各部门的财务收支、资金使用财产保管、以及收发计量、检验等工作；</w:t>
            </w:r>
            <w:r>
              <w:rPr>
                <w:rFonts w:hint="eastAsia" w:ascii="仿宋_GB2312" w:hAnsi="Times New Roman" w:eastAsia="仿宋_GB2312"/>
                <w:sz w:val="18"/>
                <w:szCs w:val="18"/>
              </w:rPr>
              <w:tab/>
            </w:r>
          </w:p>
          <w:p>
            <w:pPr>
              <w:spacing w:line="240" w:lineRule="exact"/>
              <w:rPr>
                <w:rFonts w:hint="eastAsia" w:ascii="仿宋_GB2312" w:hAnsi="Times New Roman" w:eastAsia="仿宋_GB2312"/>
                <w:sz w:val="18"/>
                <w:szCs w:val="18"/>
              </w:rPr>
            </w:pPr>
            <w:r>
              <w:rPr>
                <w:rFonts w:hint="eastAsia" w:ascii="仿宋_GB2312" w:hAnsi="Times New Roman" w:eastAsia="仿宋_GB2312"/>
                <w:sz w:val="18"/>
                <w:szCs w:val="18"/>
              </w:rPr>
              <w:t>3.严格执行国家各项财经制度，遵守费用开支标准规定，对违反财经纪律和财会制度的行为有权拒绝报销、付款和拒绝执行，并向本单位领导或上级机关报告；</w:t>
            </w:r>
            <w:r>
              <w:rPr>
                <w:rFonts w:hint="eastAsia" w:ascii="仿宋_GB2312" w:hAnsi="Times New Roman" w:eastAsia="仿宋_GB2312"/>
                <w:sz w:val="18"/>
                <w:szCs w:val="18"/>
              </w:rPr>
              <w:tab/>
            </w:r>
          </w:p>
          <w:p>
            <w:pPr>
              <w:spacing w:line="240" w:lineRule="exact"/>
              <w:rPr>
                <w:rFonts w:hint="eastAsia" w:ascii="仿宋_GB2312" w:hAnsi="Times New Roman" w:eastAsia="仿宋_GB2312"/>
                <w:sz w:val="18"/>
                <w:szCs w:val="18"/>
              </w:rPr>
            </w:pPr>
            <w:r>
              <w:rPr>
                <w:rFonts w:hint="eastAsia" w:ascii="仿宋_GB2312" w:hAnsi="Times New Roman" w:eastAsia="仿宋_GB2312"/>
                <w:sz w:val="18"/>
                <w:szCs w:val="18"/>
              </w:rPr>
              <w:t>4.定期检查和分析财务计划、预算的执行情况，挖掘增收节支的潜力，考核资金使用的效果，及时向领导提出建议；</w:t>
            </w:r>
            <w:r>
              <w:rPr>
                <w:rFonts w:hint="eastAsia" w:ascii="仿宋_GB2312" w:hAnsi="Times New Roman" w:eastAsia="仿宋_GB2312"/>
                <w:sz w:val="18"/>
                <w:szCs w:val="18"/>
              </w:rPr>
              <w:tab/>
            </w:r>
          </w:p>
          <w:p>
            <w:pPr>
              <w:spacing w:line="240" w:lineRule="exact"/>
              <w:rPr>
                <w:rFonts w:ascii="仿宋_GB2312" w:hAnsi="Times New Roman" w:eastAsia="仿宋_GB2312"/>
                <w:sz w:val="18"/>
                <w:szCs w:val="18"/>
              </w:rPr>
            </w:pPr>
            <w:r>
              <w:rPr>
                <w:rFonts w:hint="eastAsia" w:ascii="仿宋_GB2312" w:hAnsi="Times New Roman" w:eastAsia="仿宋_GB2312"/>
                <w:sz w:val="18"/>
                <w:szCs w:val="18"/>
              </w:rPr>
              <w:t>5.按照国家会计制度规定，妥善保管会计凭证、帐簿、报表等档案资料，年终按档案管理条件将有关档案保存。</w:t>
            </w:r>
            <w:r>
              <w:rPr>
                <w:rFonts w:hint="eastAsia" w:ascii="仿宋_GB2312" w:hAnsi="Times New Roman" w:eastAsia="仿宋_GB2312"/>
                <w:sz w:val="18"/>
                <w:szCs w:val="18"/>
              </w:rPr>
              <w:tab/>
            </w:r>
          </w:p>
        </w:tc>
        <w:tc>
          <w:tcPr>
            <w:tcW w:w="2523" w:type="dxa"/>
            <w:tcBorders>
              <w:top w:val="single" w:color="auto" w:sz="4" w:space="0"/>
              <w:left w:val="single" w:color="auto" w:sz="4" w:space="0"/>
              <w:bottom w:val="single" w:color="auto" w:sz="12" w:space="0"/>
              <w:right w:val="single" w:color="auto" w:sz="12" w:space="0"/>
            </w:tcBorders>
          </w:tcPr>
          <w:p>
            <w:pPr>
              <w:spacing w:line="240" w:lineRule="exact"/>
              <w:ind w:firstLine="360" w:firstLineChars="200"/>
              <w:rPr>
                <w:rFonts w:ascii="仿宋_GB2312" w:hAnsi="Times New Roman" w:eastAsia="仿宋_GB2312"/>
                <w:sz w:val="18"/>
                <w:szCs w:val="18"/>
              </w:rPr>
            </w:pPr>
            <w:r>
              <w:rPr>
                <w:rFonts w:hint="eastAsia" w:ascii="仿宋_GB2312" w:hAnsi="Times New Roman" w:eastAsia="仿宋_GB2312"/>
                <w:sz w:val="18"/>
                <w:szCs w:val="18"/>
              </w:rPr>
              <w:t>具有灵活运用财务软件登记和查看会计凭证、总帐的能力；编制和审核各种会计报表的能力，分析报表的能力。</w:t>
            </w:r>
          </w:p>
        </w:tc>
      </w:tr>
    </w:tbl>
    <w:p>
      <w:pPr>
        <w:spacing w:line="400" w:lineRule="exact"/>
        <w:rPr>
          <w:rFonts w:hint="eastAsia" w:ascii="仿宋_GB2312" w:hAnsi="Times New Roman" w:eastAsia="仿宋_GB2312"/>
          <w:sz w:val="24"/>
          <w:szCs w:val="24"/>
        </w:rPr>
      </w:pPr>
      <w:r>
        <w:rPr>
          <w:rFonts w:hint="eastAsia" w:ascii="仿宋_GB2312" w:hAnsi="Times New Roman" w:eastAsia="仿宋_GB2312"/>
          <w:sz w:val="24"/>
          <w:szCs w:val="24"/>
        </w:rPr>
        <w:t xml:space="preserve"> </w:t>
      </w:r>
    </w:p>
    <w:p>
      <w:pPr>
        <w:keepNext/>
        <w:keepLines/>
        <w:widowControl/>
        <w:spacing w:beforeLines="50" w:afterLines="50"/>
        <w:jc w:val="left"/>
        <w:outlineLvl w:val="2"/>
        <w:rPr>
          <w:rFonts w:hint="eastAsia" w:ascii="Times New Roman" w:hAnsi="Times New Roman" w:eastAsia="黑体"/>
          <w:b/>
          <w:bCs/>
          <w:kern w:val="0"/>
          <w:sz w:val="24"/>
          <w:szCs w:val="24"/>
        </w:rPr>
      </w:pPr>
      <w:r>
        <w:rPr>
          <w:rFonts w:hint="eastAsia" w:ascii="黑体" w:hAnsi="黑体" w:eastAsia="黑体"/>
          <w:b/>
          <w:bCs/>
          <w:kern w:val="0"/>
          <w:sz w:val="24"/>
          <w:szCs w:val="24"/>
        </w:rPr>
        <w:t>（二）职业岗位能力分析</w:t>
      </w:r>
    </w:p>
    <w:p>
      <w:pPr>
        <w:spacing w:beforeLines="50" w:afterLines="50" w:line="360" w:lineRule="auto"/>
        <w:ind w:firstLine="482"/>
        <w:outlineLvl w:val="3"/>
        <w:rPr>
          <w:rFonts w:hint="eastAsia" w:ascii="Arial" w:hAnsi="Arial"/>
          <w:b/>
          <w:bCs/>
          <w:kern w:val="44"/>
          <w:sz w:val="24"/>
          <w:szCs w:val="24"/>
        </w:rPr>
      </w:pPr>
      <w:r>
        <w:rPr>
          <w:rFonts w:hint="eastAsia" w:ascii="Arial" w:hAnsi="Arial"/>
          <w:b/>
          <w:bCs/>
          <w:kern w:val="44"/>
          <w:sz w:val="24"/>
          <w:szCs w:val="24"/>
        </w:rPr>
        <w:t>1</w:t>
      </w:r>
      <w:r>
        <w:rPr>
          <w:rFonts w:hint="eastAsia" w:ascii="宋体" w:hAnsi="宋体"/>
          <w:b/>
          <w:bCs/>
          <w:kern w:val="44"/>
          <w:sz w:val="24"/>
          <w:szCs w:val="24"/>
        </w:rPr>
        <w:t>．就业岗位</w:t>
      </w:r>
    </w:p>
    <w:p>
      <w:pPr>
        <w:spacing w:line="360" w:lineRule="auto"/>
        <w:ind w:firstLine="480" w:firstLineChars="200"/>
        <w:rPr>
          <w:rFonts w:hint="eastAsia" w:ascii="宋体" w:hAnsi="宋体"/>
          <w:kern w:val="44"/>
          <w:sz w:val="24"/>
          <w:szCs w:val="24"/>
        </w:rPr>
      </w:pPr>
      <w:r>
        <w:rPr>
          <w:rFonts w:hint="eastAsia" w:ascii="宋体" w:hAnsi="宋体"/>
          <w:kern w:val="44"/>
          <w:sz w:val="24"/>
          <w:szCs w:val="24"/>
        </w:rPr>
        <w:t>会计核算（包括材料核算、固定资产核算、成本核算、编制报表等具体核算岗位）、收银、出纳、统计、微机录入等岗位</w:t>
      </w:r>
    </w:p>
    <w:p>
      <w:pPr>
        <w:spacing w:beforeLines="50" w:afterLines="50" w:line="360" w:lineRule="auto"/>
        <w:ind w:firstLine="482"/>
        <w:outlineLvl w:val="3"/>
        <w:rPr>
          <w:rFonts w:hint="eastAsia" w:ascii="Arial" w:hAnsi="Arial"/>
          <w:b/>
          <w:bCs/>
          <w:kern w:val="44"/>
          <w:sz w:val="24"/>
          <w:szCs w:val="24"/>
        </w:rPr>
      </w:pPr>
      <w:r>
        <w:rPr>
          <w:rFonts w:hint="eastAsia" w:ascii="Arial" w:hAnsi="Arial"/>
          <w:b/>
          <w:bCs/>
          <w:kern w:val="44"/>
          <w:sz w:val="24"/>
          <w:szCs w:val="24"/>
        </w:rPr>
        <w:t>2</w:t>
      </w:r>
      <w:r>
        <w:rPr>
          <w:rFonts w:hint="eastAsia" w:ascii="宋体" w:hAnsi="宋体"/>
          <w:b/>
          <w:bCs/>
          <w:kern w:val="44"/>
          <w:sz w:val="24"/>
          <w:szCs w:val="24"/>
        </w:rPr>
        <w:t>．岗位层次</w:t>
      </w:r>
    </w:p>
    <w:p>
      <w:pPr>
        <w:spacing w:line="360" w:lineRule="auto"/>
        <w:ind w:firstLine="480" w:firstLineChars="200"/>
        <w:rPr>
          <w:rFonts w:hint="eastAsia" w:ascii="宋体" w:hAnsi="宋体"/>
          <w:kern w:val="44"/>
          <w:sz w:val="24"/>
          <w:szCs w:val="24"/>
        </w:rPr>
      </w:pPr>
      <w:r>
        <w:rPr>
          <w:rFonts w:hint="eastAsia" w:ascii="宋体" w:hAnsi="宋体"/>
          <w:kern w:val="44"/>
          <w:sz w:val="24"/>
          <w:szCs w:val="24"/>
        </w:rPr>
        <w:t>主要工作岗位：会计核算（包括材料核算、固定资产核算、成本核算、编制报表等具体核算岗位）、出纳、收银</w:t>
      </w:r>
    </w:p>
    <w:p>
      <w:pPr>
        <w:spacing w:line="360" w:lineRule="auto"/>
        <w:ind w:firstLine="480" w:firstLineChars="200"/>
        <w:rPr>
          <w:rFonts w:hint="eastAsia" w:ascii="宋体" w:hAnsi="宋体"/>
          <w:kern w:val="44"/>
          <w:sz w:val="24"/>
          <w:szCs w:val="24"/>
        </w:rPr>
      </w:pPr>
      <w:r>
        <w:rPr>
          <w:rFonts w:hint="eastAsia" w:ascii="宋体" w:hAnsi="宋体"/>
          <w:kern w:val="44"/>
          <w:sz w:val="24"/>
          <w:szCs w:val="24"/>
        </w:rPr>
        <w:t>相关工作岗位：库管员、营销员、统计员、微机录入</w:t>
      </w:r>
    </w:p>
    <w:p>
      <w:pPr>
        <w:widowControl/>
        <w:spacing w:beforeLines="50" w:afterLines="50"/>
        <w:jc w:val="left"/>
        <w:outlineLvl w:val="2"/>
        <w:rPr>
          <w:rFonts w:hint="eastAsia" w:ascii="Times New Roman" w:hAnsi="Times New Roman" w:eastAsia="黑体"/>
          <w:kern w:val="44"/>
          <w:sz w:val="32"/>
          <w:szCs w:val="32"/>
        </w:rPr>
      </w:pPr>
      <w:r>
        <w:rPr>
          <w:rFonts w:hint="eastAsia" w:ascii="黑体" w:hAnsi="黑体" w:eastAsia="黑体"/>
          <w:kern w:val="44"/>
          <w:sz w:val="32"/>
          <w:szCs w:val="32"/>
        </w:rPr>
        <w:t>六、人才培养规格</w:t>
      </w:r>
    </w:p>
    <w:p>
      <w:pPr>
        <w:keepNext/>
        <w:keepLines/>
        <w:widowControl/>
        <w:spacing w:beforeLines="50" w:afterLines="50"/>
        <w:ind w:firstLine="241" w:firstLineChars="100"/>
        <w:jc w:val="left"/>
        <w:outlineLvl w:val="2"/>
        <w:rPr>
          <w:rFonts w:hint="eastAsia" w:ascii="Times New Roman" w:hAnsi="Times New Roman" w:eastAsia="黑体"/>
          <w:b/>
          <w:bCs/>
          <w:kern w:val="0"/>
          <w:sz w:val="24"/>
          <w:szCs w:val="24"/>
        </w:rPr>
      </w:pPr>
      <w:r>
        <w:rPr>
          <w:rFonts w:hint="eastAsia" w:ascii="黑体" w:hAnsi="黑体" w:eastAsia="黑体"/>
          <w:b/>
          <w:bCs/>
          <w:kern w:val="0"/>
          <w:sz w:val="24"/>
          <w:szCs w:val="24"/>
        </w:rPr>
        <w:t>（一）知识结构</w:t>
      </w:r>
    </w:p>
    <w:p>
      <w:pPr>
        <w:widowControl/>
        <w:spacing w:line="360" w:lineRule="auto"/>
        <w:ind w:firstLine="480" w:firstLineChars="200"/>
        <w:jc w:val="left"/>
        <w:rPr>
          <w:rFonts w:hint="eastAsia" w:ascii="宋体" w:hAnsi="宋体"/>
          <w:kern w:val="0"/>
          <w:sz w:val="24"/>
          <w:szCs w:val="24"/>
        </w:rPr>
      </w:pPr>
      <w:r>
        <w:rPr>
          <w:rFonts w:hint="eastAsia" w:ascii="宋体" w:hAnsi="宋体" w:cs="Arial"/>
          <w:kern w:val="0"/>
          <w:sz w:val="24"/>
          <w:szCs w:val="24"/>
        </w:rPr>
        <w:t>1、具有本专业所需要的文化基础知识；</w:t>
      </w:r>
    </w:p>
    <w:p>
      <w:pPr>
        <w:widowControl/>
        <w:spacing w:line="360" w:lineRule="auto"/>
        <w:ind w:firstLine="480" w:firstLineChars="200"/>
        <w:jc w:val="left"/>
        <w:rPr>
          <w:rFonts w:hint="eastAsia" w:ascii="宋体" w:hAnsi="宋体"/>
          <w:kern w:val="0"/>
          <w:sz w:val="24"/>
          <w:szCs w:val="24"/>
        </w:rPr>
      </w:pPr>
      <w:r>
        <w:rPr>
          <w:rFonts w:hint="eastAsia" w:ascii="宋体" w:hAnsi="宋体" w:cs="Arial"/>
          <w:kern w:val="0"/>
          <w:sz w:val="24"/>
          <w:szCs w:val="24"/>
        </w:rPr>
        <w:t>2、具有从事本专业工作所需要的会计核算基础知识；</w:t>
      </w:r>
    </w:p>
    <w:p>
      <w:pPr>
        <w:widowControl/>
        <w:spacing w:line="360" w:lineRule="auto"/>
        <w:ind w:firstLine="480" w:firstLineChars="200"/>
        <w:jc w:val="left"/>
        <w:rPr>
          <w:rFonts w:hint="eastAsia" w:ascii="宋体" w:hAnsi="宋体"/>
          <w:kern w:val="0"/>
          <w:sz w:val="24"/>
          <w:szCs w:val="24"/>
        </w:rPr>
      </w:pPr>
      <w:r>
        <w:rPr>
          <w:rFonts w:hint="eastAsia" w:ascii="宋体" w:hAnsi="宋体" w:cs="Arial"/>
          <w:kern w:val="0"/>
          <w:sz w:val="24"/>
          <w:szCs w:val="24"/>
        </w:rPr>
        <w:t>3、具备一定的专业理论和技术：包括财务会计、纳税会计、管理会计、财务管理等专业理论知识和相关的操作技能；</w:t>
      </w:r>
    </w:p>
    <w:p>
      <w:pPr>
        <w:widowControl/>
        <w:spacing w:line="360" w:lineRule="auto"/>
        <w:ind w:firstLine="480" w:firstLineChars="200"/>
        <w:jc w:val="left"/>
        <w:rPr>
          <w:rFonts w:hint="eastAsia" w:ascii="宋体" w:hAnsi="宋体"/>
          <w:kern w:val="0"/>
          <w:sz w:val="24"/>
          <w:szCs w:val="24"/>
        </w:rPr>
      </w:pPr>
      <w:r>
        <w:rPr>
          <w:rFonts w:hint="eastAsia" w:ascii="宋体" w:hAnsi="宋体" w:cs="Arial"/>
          <w:kern w:val="0"/>
          <w:sz w:val="24"/>
          <w:szCs w:val="24"/>
        </w:rPr>
        <w:t>4、有一定的与本专业有关的知识，如：一般经济法律知识、税收法律知识、企业管理知识、市场营销知识、财政金融知识、财经应用文写作等。</w:t>
      </w:r>
    </w:p>
    <w:p>
      <w:pPr>
        <w:keepNext/>
        <w:keepLines/>
        <w:widowControl/>
        <w:spacing w:beforeLines="50" w:afterLines="50"/>
        <w:ind w:firstLine="482" w:firstLineChars="200"/>
        <w:jc w:val="left"/>
        <w:outlineLvl w:val="2"/>
        <w:rPr>
          <w:rFonts w:hint="eastAsia" w:ascii="Times New Roman" w:hAnsi="Times New Roman" w:eastAsia="黑体"/>
          <w:b/>
          <w:bCs/>
          <w:kern w:val="0"/>
          <w:sz w:val="24"/>
          <w:szCs w:val="24"/>
        </w:rPr>
      </w:pPr>
      <w:r>
        <w:rPr>
          <w:rFonts w:hint="eastAsia" w:ascii="黑体" w:hAnsi="黑体" w:eastAsia="黑体"/>
          <w:b/>
          <w:bCs/>
          <w:kern w:val="0"/>
          <w:sz w:val="24"/>
          <w:szCs w:val="24"/>
        </w:rPr>
        <w:t>（二）能力结构</w:t>
      </w:r>
    </w:p>
    <w:p>
      <w:pPr>
        <w:widowControl/>
        <w:spacing w:line="360" w:lineRule="auto"/>
        <w:ind w:firstLine="480" w:firstLineChars="200"/>
        <w:jc w:val="left"/>
        <w:rPr>
          <w:rFonts w:hint="eastAsia" w:ascii="宋体" w:hAnsi="宋体"/>
          <w:kern w:val="0"/>
          <w:sz w:val="24"/>
          <w:szCs w:val="24"/>
        </w:rPr>
      </w:pPr>
      <w:r>
        <w:rPr>
          <w:rFonts w:hint="eastAsia" w:ascii="宋体" w:hAnsi="宋体" w:cs="Arial"/>
          <w:kern w:val="0"/>
          <w:sz w:val="24"/>
          <w:szCs w:val="24"/>
        </w:rPr>
        <w:t>1、正常的人际交往能力；</w:t>
      </w:r>
    </w:p>
    <w:p>
      <w:pPr>
        <w:widowControl/>
        <w:spacing w:line="360" w:lineRule="auto"/>
        <w:ind w:firstLine="480" w:firstLineChars="200"/>
        <w:jc w:val="left"/>
        <w:rPr>
          <w:rFonts w:hint="eastAsia" w:ascii="宋体" w:hAnsi="宋体"/>
          <w:kern w:val="0"/>
          <w:sz w:val="24"/>
          <w:szCs w:val="24"/>
        </w:rPr>
      </w:pPr>
      <w:r>
        <w:rPr>
          <w:rFonts w:hint="eastAsia" w:ascii="宋体" w:hAnsi="宋体" w:cs="Arial"/>
          <w:kern w:val="0"/>
          <w:sz w:val="24"/>
          <w:szCs w:val="24"/>
        </w:rPr>
        <w:t>2、清晰的语言表达和应用文写作的能力；</w:t>
      </w:r>
    </w:p>
    <w:p>
      <w:pPr>
        <w:widowControl/>
        <w:spacing w:line="360" w:lineRule="auto"/>
        <w:ind w:firstLine="480" w:firstLineChars="200"/>
        <w:jc w:val="left"/>
        <w:rPr>
          <w:rFonts w:hint="eastAsia" w:ascii="宋体" w:hAnsi="宋体"/>
          <w:kern w:val="0"/>
          <w:sz w:val="24"/>
          <w:szCs w:val="24"/>
        </w:rPr>
      </w:pPr>
      <w:r>
        <w:rPr>
          <w:rFonts w:hint="eastAsia" w:ascii="宋体" w:hAnsi="宋体" w:cs="Arial"/>
          <w:kern w:val="0"/>
          <w:sz w:val="24"/>
          <w:szCs w:val="24"/>
        </w:rPr>
        <w:t>3、具有从事本专业所需的基本操作技能，包括数字书写规范、珠算和计算器的运用、点钞和验钞技术等；</w:t>
      </w:r>
    </w:p>
    <w:p>
      <w:pPr>
        <w:widowControl/>
        <w:spacing w:line="360" w:lineRule="auto"/>
        <w:ind w:firstLine="480" w:firstLineChars="200"/>
        <w:jc w:val="left"/>
        <w:rPr>
          <w:rFonts w:hint="eastAsia" w:ascii="宋体" w:hAnsi="宋体"/>
          <w:kern w:val="0"/>
          <w:sz w:val="24"/>
          <w:szCs w:val="24"/>
        </w:rPr>
      </w:pPr>
      <w:r>
        <w:rPr>
          <w:rFonts w:hint="eastAsia" w:ascii="宋体" w:hAnsi="宋体" w:cs="Arial"/>
          <w:kern w:val="0"/>
          <w:sz w:val="24"/>
          <w:szCs w:val="24"/>
        </w:rPr>
        <w:t>4、具有一定的会计业务核算能力（填制会计凭证、登记账簿等）；</w:t>
      </w:r>
    </w:p>
    <w:p>
      <w:pPr>
        <w:widowControl/>
        <w:spacing w:line="360" w:lineRule="auto"/>
        <w:ind w:firstLine="480" w:firstLineChars="200"/>
        <w:jc w:val="left"/>
        <w:rPr>
          <w:rFonts w:hint="eastAsia" w:ascii="宋体" w:hAnsi="宋体"/>
          <w:kern w:val="0"/>
          <w:sz w:val="24"/>
          <w:szCs w:val="24"/>
        </w:rPr>
      </w:pPr>
      <w:r>
        <w:rPr>
          <w:rFonts w:hint="eastAsia" w:ascii="宋体" w:hAnsi="宋体" w:cs="Arial"/>
          <w:kern w:val="0"/>
          <w:sz w:val="24"/>
          <w:szCs w:val="24"/>
        </w:rPr>
        <w:t>5、计算机操作技能和使用会计软件的能力。</w:t>
      </w:r>
    </w:p>
    <w:p>
      <w:pPr>
        <w:keepNext/>
        <w:keepLines/>
        <w:widowControl/>
        <w:spacing w:beforeLines="50" w:afterLines="50"/>
        <w:ind w:firstLine="482" w:firstLineChars="200"/>
        <w:jc w:val="left"/>
        <w:outlineLvl w:val="2"/>
        <w:rPr>
          <w:rFonts w:hint="eastAsia" w:ascii="Times New Roman" w:hAnsi="Times New Roman" w:eastAsia="黑体"/>
          <w:b/>
          <w:bCs/>
          <w:kern w:val="0"/>
          <w:sz w:val="24"/>
          <w:szCs w:val="24"/>
        </w:rPr>
      </w:pPr>
      <w:r>
        <w:rPr>
          <w:rFonts w:hint="eastAsia" w:ascii="黑体" w:hAnsi="黑体" w:eastAsia="黑体"/>
          <w:b/>
          <w:bCs/>
          <w:kern w:val="0"/>
          <w:sz w:val="24"/>
          <w:szCs w:val="24"/>
        </w:rPr>
        <w:t>（三）素质结构</w:t>
      </w:r>
    </w:p>
    <w:p>
      <w:pPr>
        <w:widowControl/>
        <w:spacing w:line="360" w:lineRule="auto"/>
        <w:ind w:firstLine="480" w:firstLineChars="200"/>
        <w:jc w:val="left"/>
        <w:rPr>
          <w:rFonts w:hint="eastAsia" w:ascii="宋体" w:hAnsi="宋体" w:cs="Arial"/>
          <w:color w:val="000000"/>
          <w:kern w:val="0"/>
          <w:sz w:val="24"/>
          <w:szCs w:val="24"/>
        </w:rPr>
      </w:pPr>
      <w:r>
        <w:rPr>
          <w:rFonts w:hint="eastAsia" w:ascii="宋体" w:hAnsi="宋体" w:cs="Arial"/>
          <w:color w:val="000000"/>
          <w:kern w:val="0"/>
          <w:sz w:val="24"/>
          <w:szCs w:val="24"/>
        </w:rPr>
        <w:t>1、有正确的人生观、价值观；</w:t>
      </w:r>
    </w:p>
    <w:p>
      <w:pPr>
        <w:spacing w:line="360" w:lineRule="auto"/>
        <w:ind w:firstLine="480" w:firstLineChars="200"/>
        <w:rPr>
          <w:rFonts w:hint="eastAsia" w:ascii="黑体" w:hAnsi="Times New Roman"/>
          <w:sz w:val="24"/>
          <w:szCs w:val="24"/>
        </w:rPr>
      </w:pPr>
      <w:r>
        <w:rPr>
          <w:rFonts w:hint="eastAsia" w:ascii="黑体" w:hAnsi="Times New Roman"/>
          <w:sz w:val="24"/>
          <w:szCs w:val="24"/>
        </w:rPr>
        <w:t>2</w:t>
      </w:r>
      <w:r>
        <w:rPr>
          <w:rFonts w:hint="eastAsia" w:ascii="宋体" w:hAnsi="宋体"/>
          <w:sz w:val="24"/>
          <w:szCs w:val="24"/>
        </w:rPr>
        <w:t>、具有较强的文化素质修养，善于协调人际关系；</w:t>
      </w:r>
    </w:p>
    <w:p>
      <w:pPr>
        <w:spacing w:line="360" w:lineRule="auto"/>
        <w:ind w:firstLine="480" w:firstLineChars="200"/>
        <w:rPr>
          <w:rFonts w:hint="eastAsia" w:ascii="黑体" w:hAnsi="Times New Roman"/>
          <w:sz w:val="24"/>
          <w:szCs w:val="24"/>
        </w:rPr>
      </w:pPr>
      <w:r>
        <w:rPr>
          <w:rFonts w:hint="eastAsia" w:ascii="黑体" w:hAnsi="Times New Roman"/>
          <w:sz w:val="24"/>
          <w:szCs w:val="24"/>
        </w:rPr>
        <w:t>3</w:t>
      </w:r>
      <w:r>
        <w:rPr>
          <w:rFonts w:hint="eastAsia" w:ascii="宋体" w:hAnsi="宋体"/>
          <w:sz w:val="24"/>
          <w:szCs w:val="24"/>
        </w:rPr>
        <w:t>、具有较强的心理素质，勇于克服困难；</w:t>
      </w:r>
    </w:p>
    <w:p>
      <w:pPr>
        <w:spacing w:line="360" w:lineRule="auto"/>
        <w:ind w:firstLine="480" w:firstLineChars="200"/>
        <w:rPr>
          <w:rFonts w:hint="eastAsia" w:ascii="黑体" w:hAnsi="Times New Roman"/>
          <w:sz w:val="24"/>
          <w:szCs w:val="24"/>
        </w:rPr>
      </w:pPr>
      <w:r>
        <w:rPr>
          <w:rFonts w:hint="eastAsia" w:ascii="黑体" w:hAnsi="Times New Roman"/>
          <w:sz w:val="24"/>
          <w:szCs w:val="24"/>
        </w:rPr>
        <w:t>4</w:t>
      </w:r>
      <w:r>
        <w:rPr>
          <w:rFonts w:hint="eastAsia" w:ascii="宋体" w:hAnsi="宋体"/>
          <w:sz w:val="24"/>
          <w:szCs w:val="24"/>
        </w:rPr>
        <w:t>、具有较强的身体素质，适应艰苦工作需要；</w:t>
      </w:r>
    </w:p>
    <w:p>
      <w:pPr>
        <w:spacing w:line="360" w:lineRule="auto"/>
        <w:ind w:firstLine="480" w:firstLineChars="200"/>
        <w:rPr>
          <w:rFonts w:hint="eastAsia" w:ascii="黑体" w:hAnsi="Times New Roman"/>
          <w:sz w:val="24"/>
          <w:szCs w:val="24"/>
        </w:rPr>
      </w:pPr>
      <w:r>
        <w:rPr>
          <w:rFonts w:hint="eastAsia" w:ascii="黑体" w:hAnsi="Times New Roman"/>
          <w:sz w:val="24"/>
          <w:szCs w:val="24"/>
        </w:rPr>
        <w:t>5</w:t>
      </w:r>
      <w:r>
        <w:rPr>
          <w:rFonts w:hint="eastAsia" w:ascii="宋体" w:hAnsi="宋体"/>
          <w:sz w:val="24"/>
          <w:szCs w:val="24"/>
        </w:rPr>
        <w:t>、具有较强的业务素质，不断进行创新；</w:t>
      </w:r>
    </w:p>
    <w:p>
      <w:pPr>
        <w:widowControl/>
        <w:spacing w:line="360" w:lineRule="auto"/>
        <w:ind w:firstLine="480" w:firstLineChars="200"/>
        <w:jc w:val="left"/>
        <w:rPr>
          <w:rFonts w:hint="eastAsia" w:ascii="宋体" w:hAnsi="宋体"/>
          <w:kern w:val="0"/>
          <w:sz w:val="24"/>
          <w:szCs w:val="24"/>
        </w:rPr>
      </w:pPr>
      <w:r>
        <w:rPr>
          <w:rFonts w:hint="eastAsia" w:ascii="宋体" w:hAnsi="宋体" w:cs="Arial"/>
          <w:color w:val="000000"/>
          <w:kern w:val="0"/>
          <w:sz w:val="24"/>
          <w:szCs w:val="24"/>
        </w:rPr>
        <w:t>6、有较高的会计职业道德修养，文明礼貌、遵纪守法、诚实守信。</w:t>
      </w:r>
    </w:p>
    <w:p>
      <w:pPr>
        <w:widowControl/>
        <w:spacing w:line="360" w:lineRule="auto"/>
        <w:jc w:val="left"/>
        <w:rPr>
          <w:rFonts w:hint="eastAsia" w:ascii="黑体" w:hAnsi="黑体" w:eastAsia="黑体" w:cs="Arial"/>
          <w:kern w:val="0"/>
          <w:sz w:val="32"/>
          <w:szCs w:val="32"/>
        </w:rPr>
      </w:pPr>
      <w:r>
        <w:rPr>
          <w:rFonts w:hint="eastAsia" w:ascii="黑体" w:hAnsi="黑体" w:eastAsia="黑体" w:cs="Arial"/>
          <w:kern w:val="0"/>
          <w:sz w:val="32"/>
          <w:szCs w:val="32"/>
        </w:rPr>
        <w:t>七、主要接续专业</w:t>
      </w:r>
    </w:p>
    <w:p>
      <w:pPr>
        <w:widowControl/>
        <w:spacing w:line="360" w:lineRule="auto"/>
        <w:ind w:firstLine="480" w:firstLineChars="200"/>
        <w:jc w:val="left"/>
        <w:rPr>
          <w:rFonts w:hint="eastAsia" w:cs="Arial" w:asciiTheme="minorEastAsia" w:hAnsiTheme="minorEastAsia" w:eastAsiaTheme="minorEastAsia"/>
          <w:kern w:val="0"/>
          <w:sz w:val="24"/>
          <w:szCs w:val="24"/>
        </w:rPr>
      </w:pPr>
      <w:r>
        <w:rPr>
          <w:rFonts w:hint="eastAsia" w:cs="Arial" w:asciiTheme="minorEastAsia" w:hAnsiTheme="minorEastAsia" w:eastAsiaTheme="minorEastAsia"/>
          <w:kern w:val="0"/>
          <w:sz w:val="24"/>
          <w:szCs w:val="24"/>
        </w:rPr>
        <w:t>高职：会计专业、财务管理专业、会计电算化专业</w:t>
      </w:r>
      <w:bookmarkStart w:id="0" w:name="_GoBack"/>
      <w:bookmarkEnd w:id="0"/>
    </w:p>
    <w:p>
      <w:pPr>
        <w:widowControl/>
        <w:spacing w:line="360" w:lineRule="auto"/>
        <w:ind w:firstLine="480" w:firstLineChars="200"/>
        <w:jc w:val="left"/>
        <w:rPr>
          <w:rFonts w:hint="eastAsia" w:cs="Arial" w:asciiTheme="minorEastAsia" w:hAnsiTheme="minorEastAsia" w:eastAsiaTheme="minorEastAsia"/>
          <w:kern w:val="0"/>
          <w:sz w:val="24"/>
          <w:szCs w:val="24"/>
        </w:rPr>
      </w:pPr>
      <w:r>
        <w:rPr>
          <w:rFonts w:hint="eastAsia" w:cs="Arial" w:asciiTheme="minorEastAsia" w:hAnsiTheme="minorEastAsia" w:eastAsiaTheme="minorEastAsia"/>
          <w:kern w:val="0"/>
          <w:sz w:val="24"/>
          <w:szCs w:val="24"/>
        </w:rPr>
        <w:t>本科：财务管理专业、会计专业</w:t>
      </w:r>
    </w:p>
    <w:p>
      <w:pPr>
        <w:widowControl/>
        <w:spacing w:line="360" w:lineRule="auto"/>
        <w:jc w:val="left"/>
        <w:rPr>
          <w:rFonts w:hint="eastAsia" w:ascii="黑体" w:hAnsi="黑体" w:eastAsia="黑体" w:cs="Arial"/>
          <w:kern w:val="0"/>
          <w:sz w:val="32"/>
          <w:szCs w:val="32"/>
        </w:rPr>
      </w:pPr>
      <w:r>
        <w:rPr>
          <w:rFonts w:hint="eastAsia" w:ascii="黑体" w:hAnsi="黑体" w:eastAsia="黑体" w:cs="Arial"/>
          <w:kern w:val="0"/>
          <w:sz w:val="32"/>
          <w:szCs w:val="32"/>
        </w:rPr>
        <w:t>八、课程结构</w:t>
      </w:r>
    </w:p>
    <w:p>
      <w:pPr>
        <w:widowControl/>
        <w:tabs>
          <w:tab w:val="left" w:pos="710"/>
          <w:tab w:val="left" w:pos="1650"/>
          <w:tab w:val="left" w:pos="2130"/>
        </w:tabs>
        <w:spacing w:line="360" w:lineRule="auto"/>
        <w:jc w:val="left"/>
        <w:rPr>
          <w:rFonts w:hint="eastAsia" w:ascii="黑体" w:hAnsi="黑体" w:eastAsia="黑体" w:cs="Arial"/>
          <w:kern w:val="0"/>
          <w:sz w:val="32"/>
          <w:szCs w:val="32"/>
        </w:rPr>
      </w:pPr>
      <w:r>
        <w:rPr>
          <w:rFonts w:ascii="黑体" w:hAnsi="黑体" w:eastAsia="黑体" w:cs="Arial"/>
          <w:kern w:val="0"/>
          <w:sz w:val="32"/>
          <w:szCs w:val="32"/>
        </w:rPr>
        <w:pict>
          <v:shape id="_x0000_s1038" o:spid="_x0000_s1038" o:spt="202" type="#_x0000_t202" style="position:absolute;left:0pt;margin-left:300.2pt;margin-top:5.1pt;height:28.5pt;width:101.25pt;z-index:251669504;mso-width-relative:page;mso-height-relative:page;" coordsize="21600,21600">
            <v:path/>
            <v:fill focussize="0,0"/>
            <v:stroke joinstyle="miter"/>
            <v:imagedata o:title=""/>
            <o:lock v:ext="edit"/>
            <v:textbox>
              <w:txbxContent>
                <w:p>
                  <w:r>
                    <w:t>专业技能（方向）</w:t>
                  </w:r>
                  <w:r>
                    <w:rPr>
                      <w:rFonts w:hint="eastAsia"/>
                    </w:rPr>
                    <w:t>2</w:t>
                  </w:r>
                </w:p>
              </w:txbxContent>
            </v:textbox>
          </v:shape>
        </w:pict>
      </w:r>
      <w:r>
        <w:rPr>
          <w:rFonts w:ascii="黑体" w:hAnsi="黑体" w:eastAsia="黑体" w:cs="Arial"/>
          <w:kern w:val="0"/>
          <w:sz w:val="32"/>
          <w:szCs w:val="32"/>
        </w:rPr>
        <w:pict>
          <v:shape id="_x0000_s1036" o:spid="_x0000_s1036" o:spt="202" type="#_x0000_t202" style="position:absolute;left:0pt;margin-left:181.7pt;margin-top:5.1pt;height:28.5pt;width:101.25pt;z-index:251667456;mso-width-relative:page;mso-height-relative:page;" coordsize="21600,21600">
            <v:path/>
            <v:fill focussize="0,0"/>
            <v:stroke joinstyle="miter"/>
            <v:imagedata o:title=""/>
            <o:lock v:ext="edit"/>
            <v:textbox>
              <w:txbxContent>
                <w:p>
                  <w:r>
                    <w:t>专业技能（方向）</w:t>
                  </w:r>
                  <w:r>
                    <w:rPr>
                      <w:rFonts w:hint="eastAsia"/>
                    </w:rPr>
                    <w:t>1</w:t>
                  </w:r>
                </w:p>
              </w:txbxContent>
            </v:textbox>
          </v:shape>
        </w:pict>
      </w:r>
      <w:r>
        <w:rPr>
          <w:rFonts w:ascii="黑体" w:hAnsi="黑体" w:eastAsia="黑体" w:cs="Arial"/>
          <w:kern w:val="0"/>
          <w:sz w:val="32"/>
          <w:szCs w:val="32"/>
        </w:rPr>
        <w:pict>
          <v:shape id="_x0000_s1039" o:spid="_x0000_s1039" o:spt="202" type="#_x0000_t202" style="position:absolute;left:0pt;margin-left:300.2pt;margin-top:27.6pt;height:61.5pt;width:101.25pt;z-index:251670528;mso-width-relative:page;mso-height-relative:page;" coordsize="21600,21600">
            <v:path/>
            <v:fill focussize="0,0"/>
            <v:stroke joinstyle="miter"/>
            <v:imagedata o:title=""/>
            <o:lock v:ext="edit"/>
            <v:textbox>
              <w:txbxContent>
                <w:p>
                  <w:pPr>
                    <w:rPr>
                      <w:rFonts w:hint="eastAsia"/>
                    </w:rPr>
                  </w:pPr>
                  <w:r>
                    <w:rPr>
                      <w:rFonts w:hint="eastAsia"/>
                    </w:rPr>
                    <w:t>企业会计综合实训</w:t>
                  </w:r>
                </w:p>
                <w:p>
                  <w:r>
                    <w:rPr>
                      <w:rFonts w:hint="eastAsia"/>
                    </w:rPr>
                    <w:t>财税一体化综合实训</w:t>
                  </w:r>
                </w:p>
              </w:txbxContent>
            </v:textbox>
          </v:shape>
        </w:pict>
      </w:r>
      <w:r>
        <w:rPr>
          <w:rFonts w:ascii="黑体" w:hAnsi="黑体" w:eastAsia="黑体" w:cs="Arial"/>
          <w:kern w:val="0"/>
          <w:sz w:val="32"/>
          <w:szCs w:val="32"/>
        </w:rPr>
        <w:pict>
          <v:shape id="_x0000_s1037" o:spid="_x0000_s1037" o:spt="202" type="#_x0000_t202" style="position:absolute;left:0pt;margin-left:181.7pt;margin-top:27.6pt;height:67.5pt;width:101.25pt;z-index:251668480;mso-width-relative:page;mso-height-relative:page;" coordsize="21600,21600">
            <v:path/>
            <v:fill focussize="0,0"/>
            <v:stroke joinstyle="miter"/>
            <v:imagedata o:title=""/>
            <o:lock v:ext="edit"/>
            <v:textbox>
              <w:txbxContent>
                <w:p>
                  <w:pPr>
                    <w:rPr>
                      <w:rFonts w:hint="eastAsia"/>
                    </w:rPr>
                  </w:pPr>
                  <w:r>
                    <w:rPr>
                      <w:rFonts w:hint="eastAsia"/>
                    </w:rPr>
                    <w:t>演讲与口才</w:t>
                  </w:r>
                </w:p>
                <w:p>
                  <w:pPr>
                    <w:rPr>
                      <w:rFonts w:hint="eastAsia"/>
                    </w:rPr>
                  </w:pPr>
                  <w:r>
                    <w:rPr>
                      <w:rFonts w:hint="eastAsia"/>
                    </w:rPr>
                    <w:t>会计基本技能</w:t>
                  </w:r>
                </w:p>
                <w:p>
                  <w:pPr>
                    <w:rPr>
                      <w:rFonts w:hint="eastAsia"/>
                    </w:rPr>
                  </w:pPr>
                  <w:r>
                    <w:rPr>
                      <w:rFonts w:hint="eastAsia"/>
                    </w:rPr>
                    <w:t>基础会计实训</w:t>
                  </w:r>
                </w:p>
                <w:p>
                  <w:r>
                    <w:rPr>
                      <w:rFonts w:hint="eastAsia"/>
                    </w:rPr>
                    <w:t>出纳岗位实训</w:t>
                  </w:r>
                </w:p>
              </w:txbxContent>
            </v:textbox>
          </v:shape>
        </w:pict>
      </w:r>
      <w:r>
        <w:rPr>
          <w:rFonts w:ascii="黑体" w:hAnsi="黑体" w:eastAsia="黑体" w:cs="Arial"/>
          <w:kern w:val="0"/>
          <w:sz w:val="32"/>
          <w:szCs w:val="32"/>
        </w:rPr>
        <w:pict>
          <v:rect id="_x0000_s1026" o:spid="_x0000_s1026" o:spt="1" style="position:absolute;left:0pt;margin-left:22.7pt;margin-top:20.85pt;height:185.25pt;width:26.25pt;z-index:251658240;mso-width-relative:page;mso-height-relative:page;" coordsize="21600,21600">
            <v:path/>
            <v:fill focussize="0,0"/>
            <v:stroke/>
            <v:imagedata o:title=""/>
            <o:lock v:ext="edit"/>
          </v:rect>
        </w:pict>
      </w:r>
      <w:r>
        <w:rPr>
          <w:rFonts w:ascii="黑体" w:hAnsi="黑体" w:eastAsia="黑体" w:cs="Arial"/>
          <w:kern w:val="0"/>
          <w:sz w:val="32"/>
          <w:szCs w:val="32"/>
        </w:rPr>
        <w:tab/>
      </w:r>
      <w:r>
        <w:rPr>
          <w:rFonts w:ascii="黑体" w:hAnsi="黑体" w:eastAsia="黑体" w:cs="Arial"/>
          <w:kern w:val="0"/>
          <w:sz w:val="32"/>
          <w:szCs w:val="32"/>
        </w:rPr>
        <w:tab/>
      </w:r>
      <w:r>
        <w:rPr>
          <w:rFonts w:ascii="黑体" w:hAnsi="黑体" w:eastAsia="黑体" w:cs="Arial"/>
          <w:kern w:val="0"/>
          <w:sz w:val="32"/>
          <w:szCs w:val="32"/>
        </w:rPr>
        <w:tab/>
      </w:r>
    </w:p>
    <w:p>
      <w:pPr>
        <w:widowControl/>
        <w:tabs>
          <w:tab w:val="center" w:pos="4153"/>
          <w:tab w:val="left" w:pos="6990"/>
        </w:tabs>
        <w:spacing w:line="360" w:lineRule="auto"/>
        <w:jc w:val="left"/>
        <w:rPr>
          <w:rFonts w:hint="eastAsia" w:ascii="黑体" w:hAnsi="黑体" w:eastAsia="黑体" w:cs="Arial"/>
          <w:kern w:val="0"/>
          <w:sz w:val="32"/>
          <w:szCs w:val="32"/>
        </w:rPr>
      </w:pPr>
      <w:r>
        <w:rPr>
          <w:rFonts w:ascii="黑体" w:hAnsi="黑体" w:eastAsia="黑体" w:cs="Arial"/>
          <w:kern w:val="0"/>
          <w:sz w:val="32"/>
          <w:szCs w:val="32"/>
        </w:rPr>
        <w:pict>
          <v:rect id="_x0000_s1030" o:spid="_x0000_s1030" o:spt="1" style="position:absolute;left:0pt;margin-left:67.7pt;margin-top:2.4pt;height:38.25pt;width:102pt;z-index:251662336;mso-width-relative:page;mso-height-relative:page;" coordsize="21600,21600">
            <v:path/>
            <v:fill focussize="0,0"/>
            <v:stroke/>
            <v:imagedata o:title=""/>
            <o:lock v:ext="edit"/>
          </v:rect>
        </w:pict>
      </w:r>
      <w:r>
        <w:rPr>
          <w:rFonts w:ascii="黑体" w:hAnsi="黑体" w:eastAsia="黑体" w:cs="Arial"/>
          <w:kern w:val="0"/>
          <w:sz w:val="32"/>
          <w:szCs w:val="32"/>
        </w:rPr>
        <w:pict>
          <v:shape id="_x0000_s1031" o:spid="_x0000_s1031" o:spt="202" type="#_x0000_t202" style="position:absolute;left:0pt;margin-left:67.7pt;margin-top:11.4pt;height:25.5pt;width:105.75pt;z-index:251663360;mso-width-relative:page;mso-height-relative:page;" filled="f" stroked="f" coordsize="21600,21600">
            <v:path/>
            <v:fill on="f" focussize="0,0"/>
            <v:stroke on="f" joinstyle="miter"/>
            <v:imagedata o:title=""/>
            <o:lock v:ext="edit"/>
            <v:textbox>
              <w:txbxContent>
                <w:p>
                  <w:r>
                    <w:t>专业（技能）方向课</w:t>
                  </w:r>
                </w:p>
              </w:txbxContent>
            </v:textbox>
          </v:shape>
        </w:pict>
      </w:r>
      <w:r>
        <w:rPr>
          <w:rFonts w:hint="eastAsia" w:ascii="黑体" w:hAnsi="黑体" w:eastAsia="黑体" w:cs="Arial"/>
          <w:kern w:val="0"/>
          <w:sz w:val="32"/>
          <w:szCs w:val="32"/>
        </w:rPr>
        <w:pict>
          <v:shape id="_x0000_s1027" o:spid="_x0000_s1027" o:spt="202" type="#_x0000_t202" style="position:absolute;left:0pt;margin-left:8.45pt;margin-top:17.4pt;height:116.25pt;width:46.5pt;z-index:251659264;mso-width-relative:page;mso-height-relative:page;" filled="f" stroked="f" coordsize="21600,21600">
            <v:path/>
            <v:fill on="f" focussize="0,0"/>
            <v:stroke on="f" joinstyle="miter"/>
            <v:imagedata o:title=""/>
            <o:lock v:ext="edit"/>
            <v:textbox style="layout-flow:vertical-ideographic;">
              <w:txbxContent>
                <w:p>
                  <w:pPr>
                    <w:spacing w:line="360" w:lineRule="auto"/>
                    <w:jc w:val="center"/>
                  </w:pPr>
                  <w:r>
                    <w:t>专</w:t>
                  </w:r>
                  <w:r>
                    <w:rPr>
                      <w:rFonts w:hint="eastAsia"/>
                    </w:rPr>
                    <w:t xml:space="preserve"> </w:t>
                  </w:r>
                  <w:r>
                    <w:t>业</w:t>
                  </w:r>
                  <w:r>
                    <w:rPr>
                      <w:rFonts w:hint="eastAsia"/>
                    </w:rPr>
                    <w:t xml:space="preserve"> </w:t>
                  </w:r>
                  <w:r>
                    <w:t>技</w:t>
                  </w:r>
                  <w:r>
                    <w:rPr>
                      <w:rFonts w:hint="eastAsia"/>
                    </w:rPr>
                    <w:t xml:space="preserve"> </w:t>
                  </w:r>
                  <w:r>
                    <w:t>能</w:t>
                  </w:r>
                  <w:r>
                    <w:rPr>
                      <w:rFonts w:hint="eastAsia"/>
                    </w:rPr>
                    <w:t xml:space="preserve"> </w:t>
                  </w:r>
                  <w:r>
                    <w:t>课</w:t>
                  </w:r>
                </w:p>
              </w:txbxContent>
            </v:textbox>
          </v:shape>
        </w:pict>
      </w:r>
      <w:r>
        <w:rPr>
          <w:rFonts w:ascii="黑体" w:hAnsi="黑体" w:eastAsia="黑体" w:cs="Arial"/>
          <w:kern w:val="0"/>
          <w:sz w:val="32"/>
          <w:szCs w:val="32"/>
        </w:rPr>
        <w:tab/>
      </w:r>
      <w:r>
        <w:rPr>
          <w:rFonts w:ascii="黑体" w:hAnsi="黑体" w:eastAsia="黑体" w:cs="Arial"/>
          <w:kern w:val="0"/>
          <w:sz w:val="32"/>
          <w:szCs w:val="32"/>
        </w:rPr>
        <w:tab/>
      </w:r>
    </w:p>
    <w:p>
      <w:pPr>
        <w:widowControl/>
        <w:spacing w:line="360" w:lineRule="auto"/>
        <w:jc w:val="left"/>
        <w:rPr>
          <w:rFonts w:hint="eastAsia" w:ascii="黑体" w:hAnsi="黑体" w:eastAsia="黑体" w:cs="Arial"/>
          <w:kern w:val="0"/>
          <w:sz w:val="32"/>
          <w:szCs w:val="32"/>
        </w:rPr>
      </w:pPr>
    </w:p>
    <w:p>
      <w:pPr>
        <w:widowControl/>
        <w:spacing w:line="360" w:lineRule="auto"/>
        <w:jc w:val="left"/>
        <w:rPr>
          <w:rFonts w:hint="eastAsia" w:ascii="黑体" w:hAnsi="黑体" w:eastAsia="黑体" w:cs="Arial"/>
          <w:kern w:val="0"/>
          <w:sz w:val="32"/>
          <w:szCs w:val="32"/>
        </w:rPr>
      </w:pPr>
      <w:r>
        <w:rPr>
          <w:rFonts w:hint="eastAsia" w:ascii="黑体" w:hAnsi="黑体" w:eastAsia="黑体" w:cs="Arial"/>
          <w:kern w:val="0"/>
          <w:sz w:val="32"/>
          <w:szCs w:val="32"/>
        </w:rPr>
        <w:pict>
          <v:shape id="_x0000_s1046" o:spid="_x0000_s1046" o:spt="32" type="#_x0000_t32" style="position:absolute;left:0pt;flip:y;margin-left:236.45pt;margin-top:1.5pt;height:19.5pt;width:0.05pt;z-index:251675648;mso-width-relative:page;mso-height-relative:page;" o:connectortype="straight" filled="f" coordsize="21600,21600">
            <v:path arrowok="t"/>
            <v:fill on="f" focussize="0,0"/>
            <v:stroke endarrow="block"/>
            <v:imagedata o:title=""/>
            <o:lock v:ext="edit"/>
          </v:shape>
        </w:pict>
      </w:r>
      <w:r>
        <w:rPr>
          <w:rFonts w:hint="eastAsia" w:ascii="黑体" w:hAnsi="黑体" w:eastAsia="黑体" w:cs="Arial"/>
          <w:kern w:val="0"/>
          <w:sz w:val="32"/>
          <w:szCs w:val="32"/>
        </w:rPr>
        <w:pict>
          <v:shape id="_x0000_s1048" o:spid="_x0000_s1048" o:spt="32" type="#_x0000_t32" style="position:absolute;left:0pt;flip:y;margin-left:349.7pt;margin-top:1.5pt;height:19.5pt;width:0.05pt;z-index:251676672;mso-width-relative:page;mso-height-relative:page;" o:connectortype="straight" filled="f" coordsize="21600,21600">
            <v:path arrowok="t"/>
            <v:fill on="f" focussize="0,0"/>
            <v:stroke endarrow="block"/>
            <v:imagedata o:title=""/>
            <o:lock v:ext="edit"/>
          </v:shape>
        </w:pict>
      </w:r>
      <w:r>
        <w:rPr>
          <w:rFonts w:hint="eastAsia" w:ascii="黑体" w:hAnsi="黑体" w:eastAsia="黑体" w:cs="Arial"/>
          <w:kern w:val="0"/>
          <w:sz w:val="32"/>
          <w:szCs w:val="32"/>
        </w:rPr>
        <w:pict>
          <v:shape id="_x0000_s1044" o:spid="_x0000_s1044" o:spt="32" type="#_x0000_t32" style="position:absolute;left:0pt;margin-left:199.7pt;margin-top:21pt;height:0pt;width:184.5pt;z-index:251673600;mso-width-relative:page;mso-height-relative:page;" o:connectortype="straight" filled="f" coordsize="21600,21600">
            <v:path arrowok="t"/>
            <v:fill on="f" focussize="0,0"/>
            <v:stroke/>
            <v:imagedata o:title=""/>
            <o:lock v:ext="edit"/>
          </v:shape>
        </w:pict>
      </w:r>
      <w:r>
        <w:rPr>
          <w:rFonts w:hint="eastAsia" w:ascii="黑体" w:hAnsi="黑体" w:eastAsia="黑体" w:cs="Arial"/>
          <w:kern w:val="0"/>
          <w:sz w:val="32"/>
          <w:szCs w:val="32"/>
        </w:rPr>
        <w:pict>
          <v:shape id="_x0000_s1043" o:spid="_x0000_s1043" o:spt="32" type="#_x0000_t32" style="position:absolute;left:0pt;margin-left:200.5pt;margin-top:21pt;height:8.25pt;width:0.05pt;z-index:251672576;mso-width-relative:page;mso-height-relative:page;" o:connectortype="straight" filled="f" coordsize="21600,21600">
            <v:path arrowok="t"/>
            <v:fill on="f" focussize="0,0"/>
            <v:stroke/>
            <v:imagedata o:title=""/>
            <o:lock v:ext="edit"/>
          </v:shape>
        </w:pict>
      </w:r>
      <w:r>
        <w:rPr>
          <w:rFonts w:hint="eastAsia" w:ascii="黑体" w:hAnsi="黑体" w:eastAsia="黑体" w:cs="Arial"/>
          <w:kern w:val="0"/>
          <w:sz w:val="32"/>
          <w:szCs w:val="32"/>
        </w:rPr>
        <w:pict>
          <v:shape id="_x0000_s1045" o:spid="_x0000_s1045" o:spt="32" type="#_x0000_t32" style="position:absolute;left:0pt;margin-left:384.2pt;margin-top:21pt;height:8.25pt;width:0.05pt;z-index:251674624;mso-width-relative:page;mso-height-relative:page;" o:connectortype="straight" filled="f" coordsize="21600,21600">
            <v:path arrowok="t"/>
            <v:fill on="f" focussize="0,0"/>
            <v:stroke/>
            <v:imagedata o:title=""/>
            <o:lock v:ext="edit"/>
          </v:shape>
        </w:pict>
      </w:r>
      <w:r>
        <w:rPr>
          <w:rFonts w:hint="eastAsia" w:ascii="黑体" w:hAnsi="黑体" w:eastAsia="黑体" w:cs="Arial"/>
          <w:kern w:val="0"/>
          <w:sz w:val="32"/>
          <w:szCs w:val="32"/>
        </w:rPr>
        <w:pict>
          <v:shape id="_x0000_s1040" o:spid="_x0000_s1040" o:spt="202" type="#_x0000_t202" style="position:absolute;left:0pt;margin-left:181.7pt;margin-top:29.25pt;height:69.75pt;width:236.25pt;z-index:251671552;mso-width-relative:page;mso-height-relative:page;" coordsize="21600,21600">
            <v:path/>
            <v:fill focussize="0,0"/>
            <v:stroke joinstyle="miter"/>
            <v:imagedata o:title=""/>
            <o:lock v:ext="edit"/>
            <v:textbox>
              <w:txbxContent>
                <w:p>
                  <w:pPr>
                    <w:rPr>
                      <w:rFonts w:hint="eastAsia"/>
                    </w:rPr>
                  </w:pPr>
                  <w:r>
                    <w:rPr>
                      <w:rFonts w:hint="eastAsia"/>
                    </w:rPr>
                    <w:t>基础会计、企业财务会、成本核算实务</w:t>
                  </w:r>
                </w:p>
                <w:p>
                  <w:pPr>
                    <w:rPr>
                      <w:rFonts w:hint="eastAsia"/>
                    </w:rPr>
                  </w:pPr>
                  <w:r>
                    <w:rPr>
                      <w:rFonts w:hint="eastAsia"/>
                    </w:rPr>
                    <w:t>初级会计实务、纳税会计、财务管理、统计基础</w:t>
                  </w:r>
                </w:p>
                <w:p>
                  <w:pPr>
                    <w:rPr>
                      <w:rFonts w:hint="eastAsia"/>
                    </w:rPr>
                  </w:pPr>
                  <w:r>
                    <w:rPr>
                      <w:rFonts w:hint="eastAsia"/>
                    </w:rPr>
                    <w:t>企业管理、市场营销、财经法规与职业道德</w:t>
                  </w:r>
                </w:p>
                <w:p>
                  <w:pPr>
                    <w:rPr>
                      <w:rFonts w:hint="eastAsia"/>
                    </w:rPr>
                  </w:pPr>
                  <w:r>
                    <w:rPr>
                      <w:rFonts w:hint="eastAsia"/>
                    </w:rPr>
                    <w:t>经济法基础</w:t>
                  </w:r>
                </w:p>
                <w:p>
                  <w:r>
                    <w:rPr>
                      <w:rFonts w:hint="eastAsia"/>
                    </w:rPr>
                    <w:t>会计电算化（T3）（含excel在会计中应用）</w:t>
                  </w:r>
                </w:p>
              </w:txbxContent>
            </v:textbox>
          </v:shape>
        </w:pict>
      </w:r>
    </w:p>
    <w:p>
      <w:pPr>
        <w:widowControl/>
        <w:spacing w:line="360" w:lineRule="auto"/>
        <w:jc w:val="left"/>
        <w:rPr>
          <w:rFonts w:hint="eastAsia" w:ascii="黑体" w:hAnsi="黑体" w:eastAsia="黑体" w:cs="Arial"/>
          <w:kern w:val="0"/>
          <w:sz w:val="32"/>
          <w:szCs w:val="32"/>
        </w:rPr>
      </w:pPr>
      <w:r>
        <w:rPr>
          <w:rFonts w:hint="eastAsia" w:ascii="黑体" w:hAnsi="黑体" w:eastAsia="黑体" w:cs="Arial"/>
          <w:kern w:val="0"/>
          <w:sz w:val="32"/>
          <w:szCs w:val="32"/>
        </w:rPr>
        <w:pict>
          <v:rect id="_x0000_s1029" o:spid="_x0000_s1029" o:spt="1" style="position:absolute;left:0pt;margin-left:71.45pt;margin-top:5.55pt;height:38.25pt;width:98.25pt;z-index:251661312;mso-width-relative:page;mso-height-relative:page;" coordsize="21600,21600">
            <v:path/>
            <v:fill focussize="0,0"/>
            <v:stroke/>
            <v:imagedata o:title=""/>
            <o:lock v:ext="edit"/>
          </v:rect>
        </w:pict>
      </w:r>
      <w:r>
        <w:rPr>
          <w:rFonts w:hint="eastAsia" w:ascii="黑体" w:hAnsi="黑体" w:eastAsia="黑体" w:cs="Arial"/>
          <w:kern w:val="0"/>
          <w:sz w:val="32"/>
          <w:szCs w:val="32"/>
        </w:rPr>
        <w:pict>
          <v:shape id="_x0000_s1032" o:spid="_x0000_s1032" o:spt="202" type="#_x0000_t202" style="position:absolute;left:0pt;margin-left:78.95pt;margin-top:11.55pt;height:28.5pt;width:86.25pt;z-index:251664384;mso-width-relative:page;mso-height-relative:page;" filled="f" stroked="f" coordsize="21600,21600">
            <v:path/>
            <v:fill on="f" focussize="0,0"/>
            <v:stroke on="f" joinstyle="miter"/>
            <v:imagedata o:title=""/>
            <o:lock v:ext="edit"/>
            <v:textbox>
              <w:txbxContent>
                <w:p>
                  <w:pPr>
                    <w:ind w:firstLine="210" w:firstLineChars="100"/>
                  </w:pPr>
                  <w:r>
                    <w:t>专业核心课</w:t>
                  </w:r>
                </w:p>
              </w:txbxContent>
            </v:textbox>
          </v:shape>
        </w:pict>
      </w:r>
    </w:p>
    <w:p>
      <w:pPr>
        <w:widowControl/>
        <w:spacing w:line="360" w:lineRule="auto"/>
        <w:jc w:val="left"/>
        <w:rPr>
          <w:rFonts w:hint="eastAsia" w:ascii="黑体" w:hAnsi="黑体" w:eastAsia="黑体" w:cs="Arial"/>
          <w:kern w:val="0"/>
          <w:sz w:val="32"/>
          <w:szCs w:val="32"/>
        </w:rPr>
      </w:pPr>
    </w:p>
    <w:p>
      <w:pPr>
        <w:widowControl/>
        <w:spacing w:line="360" w:lineRule="auto"/>
        <w:jc w:val="left"/>
        <w:rPr>
          <w:rFonts w:hint="eastAsia" w:ascii="黑体" w:hAnsi="黑体" w:eastAsia="黑体" w:cs="Arial"/>
          <w:kern w:val="0"/>
          <w:sz w:val="32"/>
          <w:szCs w:val="32"/>
        </w:rPr>
      </w:pPr>
      <w:r>
        <w:rPr>
          <w:rFonts w:hint="eastAsia" w:ascii="黑体" w:hAnsi="黑体" w:eastAsia="黑体" w:cs="Arial"/>
          <w:kern w:val="0"/>
          <w:sz w:val="32"/>
          <w:szCs w:val="32"/>
        </w:rPr>
        <w:pict>
          <v:shape id="_x0000_s1064" o:spid="_x0000_s1064" o:spt="32" type="#_x0000_t32" style="position:absolute;left:0pt;flip:y;margin-left:409.65pt;margin-top:5.4pt;height:13.5pt;width:0.05pt;z-index:251691008;mso-width-relative:page;mso-height-relative:page;" o:connectortype="straight" filled="f" coordsize="21600,21600">
            <v:path arrowok="t"/>
            <v:fill on="f" focussize="0,0"/>
            <v:stroke endarrow="block"/>
            <v:imagedata o:title=""/>
            <o:lock v:ext="edit"/>
          </v:shape>
        </w:pict>
      </w:r>
      <w:r>
        <w:rPr>
          <w:rFonts w:hint="eastAsia" w:ascii="黑体" w:hAnsi="黑体" w:eastAsia="黑体" w:cs="Arial"/>
          <w:kern w:val="0"/>
          <w:sz w:val="32"/>
          <w:szCs w:val="32"/>
        </w:rPr>
        <w:pict>
          <v:shape id="_x0000_s1063" o:spid="_x0000_s1063" o:spt="32" type="#_x0000_t32" style="position:absolute;left:0pt;flip:y;margin-left:189.15pt;margin-top:5.4pt;height:13.5pt;width:0.05pt;z-index:251689984;mso-width-relative:page;mso-height-relative:page;" o:connectortype="straight" filled="f" coordsize="21600,21600">
            <v:path arrowok="t"/>
            <v:fill on="f" focussize="0,0"/>
            <v:stroke endarrow="block"/>
            <v:imagedata o:title=""/>
            <o:lock v:ext="edit"/>
          </v:shape>
        </w:pict>
      </w:r>
      <w:r>
        <w:rPr>
          <w:rFonts w:hint="eastAsia" w:ascii="黑体" w:hAnsi="黑体" w:eastAsia="黑体" w:cs="Arial"/>
          <w:kern w:val="0"/>
          <w:sz w:val="32"/>
          <w:szCs w:val="32"/>
        </w:rPr>
        <w:pict>
          <v:shape id="_x0000_s1062" o:spid="_x0000_s1062" o:spt="32" type="#_x0000_t32" style="position:absolute;left:0pt;flip:x y;margin-left:309.2pt;margin-top:5.4pt;height:43.5pt;width:0.75pt;z-index:251688960;mso-width-relative:page;mso-height-relative:page;" o:connectortype="straight" filled="f" coordsize="21600,21600">
            <v:path arrowok="t"/>
            <v:fill on="f" focussize="0,0"/>
            <v:stroke endarrow="block"/>
            <v:imagedata o:title=""/>
            <o:lock v:ext="edit"/>
          </v:shape>
        </w:pict>
      </w:r>
      <w:r>
        <w:rPr>
          <w:rFonts w:hint="eastAsia" w:ascii="黑体" w:hAnsi="黑体" w:eastAsia="黑体" w:cs="Arial"/>
          <w:kern w:val="0"/>
          <w:sz w:val="32"/>
          <w:szCs w:val="32"/>
        </w:rPr>
        <w:pict>
          <v:shape id="_x0000_s1065" o:spid="_x0000_s1065" o:spt="32" type="#_x0000_t32" style="position:absolute;left:0pt;margin-left:189.2pt;margin-top:18.9pt;height:0pt;width:220.45pt;z-index:251692032;mso-width-relative:page;mso-height-relative:page;" o:connectortype="straight" filled="f" coordsize="21600,21600">
            <v:path arrowok="t"/>
            <v:fill on="f" focussize="0,0"/>
            <v:stroke/>
            <v:imagedata o:title=""/>
            <o:lock v:ext="edit"/>
          </v:shape>
        </w:pict>
      </w:r>
      <w:r>
        <w:rPr>
          <w:rFonts w:hint="eastAsia" w:ascii="黑体" w:hAnsi="黑体" w:eastAsia="黑体" w:cs="Arial"/>
          <w:kern w:val="0"/>
          <w:sz w:val="32"/>
          <w:szCs w:val="32"/>
        </w:rPr>
        <w:t xml:space="preserve">    </w:t>
      </w:r>
    </w:p>
    <w:p>
      <w:pPr>
        <w:widowControl/>
        <w:spacing w:line="360" w:lineRule="auto"/>
        <w:jc w:val="left"/>
        <w:rPr>
          <w:rFonts w:hint="eastAsia" w:ascii="黑体" w:hAnsi="黑体" w:eastAsia="黑体" w:cs="Arial"/>
          <w:kern w:val="0"/>
          <w:sz w:val="32"/>
          <w:szCs w:val="32"/>
        </w:rPr>
      </w:pPr>
      <w:r>
        <w:rPr>
          <w:rFonts w:hint="eastAsia" w:ascii="黑体" w:hAnsi="黑体" w:eastAsia="黑体" w:cs="Arial"/>
          <w:kern w:val="0"/>
          <w:sz w:val="32"/>
          <w:szCs w:val="32"/>
        </w:rPr>
        <w:pict>
          <v:shape id="_x0000_s1061" o:spid="_x0000_s1061" o:spt="32" type="#_x0000_t32" style="position:absolute;left:0pt;margin-left:439.55pt;margin-top:4.2pt;height:13.5pt;width:0pt;z-index:251687936;mso-width-relative:page;mso-height-relative:page;" o:connectortype="straight" filled="f" coordsize="21600,21600">
            <v:path arrowok="t"/>
            <v:fill on="f" focussize="0,0"/>
            <v:stroke/>
            <v:imagedata o:title=""/>
            <o:lock v:ext="edit"/>
          </v:shape>
        </w:pict>
      </w:r>
      <w:r>
        <w:rPr>
          <w:rFonts w:hint="eastAsia" w:ascii="黑体" w:hAnsi="黑体" w:eastAsia="黑体" w:cs="Arial"/>
          <w:kern w:val="0"/>
          <w:sz w:val="32"/>
          <w:szCs w:val="32"/>
        </w:rPr>
        <w:pict>
          <v:shape id="_x0000_s1060" o:spid="_x0000_s1060" o:spt="32" type="#_x0000_t32" style="position:absolute;left:0pt;margin-left:174.8pt;margin-top:4.2pt;height:0pt;width:264.75pt;z-index:251686912;mso-width-relative:page;mso-height-relative:page;" o:connectortype="straight" filled="f" coordsize="21600,21600">
            <v:path arrowok="t"/>
            <v:fill on="f" focussize="0,0"/>
            <v:stroke/>
            <v:imagedata o:title=""/>
            <o:lock v:ext="edit"/>
          </v:shape>
        </w:pict>
      </w:r>
      <w:r>
        <w:rPr>
          <w:rFonts w:hint="eastAsia" w:ascii="黑体" w:hAnsi="黑体" w:eastAsia="黑体" w:cs="Arial"/>
          <w:kern w:val="0"/>
          <w:sz w:val="32"/>
          <w:szCs w:val="32"/>
        </w:rPr>
        <w:pict>
          <v:shape id="_x0000_s1057" o:spid="_x0000_s1057" o:spt="202" type="#_x0000_t202" style="position:absolute;left:0pt;margin-left:396.8pt;margin-top:17.7pt;height:39.75pt;width:32.25pt;z-index:251683840;mso-width-relative:page;mso-height-relative:page;" coordsize="21600,21600">
            <v:path/>
            <v:fill focussize="0,0"/>
            <v:stroke joinstyle="miter"/>
            <v:imagedata o:title=""/>
            <o:lock v:ext="edit"/>
            <v:textbox style="layout-flow:vertical-ideographic;">
              <w:txbxContent>
                <w:p>
                  <w:r>
                    <w:rPr>
                      <w:rFonts w:hint="eastAsia"/>
                    </w:rPr>
                    <w:t>艺 术</w:t>
                  </w:r>
                </w:p>
              </w:txbxContent>
            </v:textbox>
          </v:shape>
        </w:pict>
      </w:r>
      <w:r>
        <w:rPr>
          <w:rFonts w:hint="eastAsia" w:ascii="黑体" w:hAnsi="黑体" w:eastAsia="黑体" w:cs="Arial"/>
          <w:kern w:val="0"/>
          <w:sz w:val="32"/>
          <w:szCs w:val="32"/>
        </w:rPr>
        <w:pict>
          <v:shape id="_x0000_s1055" o:spid="_x0000_s1055" o:spt="202" type="#_x0000_t202" style="position:absolute;left:0pt;margin-left:279.05pt;margin-top:17.7pt;height:39.75pt;width:60.75pt;z-index:251681792;mso-width-relative:page;mso-height-relative:page;" coordsize="21600,21600">
            <v:path/>
            <v:fill focussize="0,0"/>
            <v:stroke joinstyle="miter"/>
            <v:imagedata o:title=""/>
            <o:lock v:ext="edit"/>
            <v:textbox>
              <w:txbxContent>
                <w:p>
                  <w:r>
                    <w:t>计算机应用基础</w:t>
                  </w:r>
                </w:p>
                <w:p/>
              </w:txbxContent>
            </v:textbox>
          </v:shape>
        </w:pict>
      </w:r>
      <w:r>
        <w:rPr>
          <w:rFonts w:hint="eastAsia" w:ascii="黑体" w:hAnsi="黑体" w:eastAsia="黑体" w:cs="Arial"/>
          <w:kern w:val="0"/>
          <w:sz w:val="32"/>
          <w:szCs w:val="32"/>
        </w:rPr>
        <w:pict>
          <v:shape id="_x0000_s1053" o:spid="_x0000_s1053" o:spt="202" type="#_x0000_t202" style="position:absolute;left:0pt;margin-left:248.3pt;margin-top:17.7pt;height:39.75pt;width:30.75pt;z-index:251680768;mso-width-relative:page;mso-height-relative:page;" coordsize="21600,21600">
            <v:path/>
            <v:fill focussize="0,0"/>
            <v:stroke joinstyle="miter"/>
            <v:imagedata o:title=""/>
            <o:lock v:ext="edit"/>
            <v:textbox style="layout-flow:vertical-ideographic;">
              <w:txbxContent>
                <w:p>
                  <w:r>
                    <w:t>外</w:t>
                  </w:r>
                  <w:r>
                    <w:rPr>
                      <w:rFonts w:hint="eastAsia"/>
                    </w:rPr>
                    <w:t xml:space="preserve"> </w:t>
                  </w:r>
                  <w:r>
                    <w:t>语</w:t>
                  </w:r>
                </w:p>
              </w:txbxContent>
            </v:textbox>
          </v:shape>
        </w:pict>
      </w:r>
      <w:r>
        <w:rPr>
          <w:rFonts w:hint="eastAsia" w:ascii="黑体" w:hAnsi="黑体" w:eastAsia="黑体" w:cs="Arial"/>
          <w:kern w:val="0"/>
          <w:sz w:val="32"/>
          <w:szCs w:val="32"/>
        </w:rPr>
        <w:pict>
          <v:shape id="_x0000_s1052" o:spid="_x0000_s1052" o:spt="202" type="#_x0000_t202" style="position:absolute;left:0pt;margin-left:219.8pt;margin-top:17.7pt;height:39.75pt;width:28.5pt;z-index:251679744;mso-width-relative:page;mso-height-relative:page;" coordsize="21600,21600">
            <v:path/>
            <v:fill focussize="0,0"/>
            <v:stroke joinstyle="miter"/>
            <v:imagedata o:title=""/>
            <o:lock v:ext="edit"/>
            <v:textbox style="layout-flow:vertical-ideographic;">
              <w:txbxContent>
                <w:p>
                  <w:r>
                    <w:t>数</w:t>
                  </w:r>
                  <w:r>
                    <w:rPr>
                      <w:rFonts w:hint="eastAsia"/>
                    </w:rPr>
                    <w:t xml:space="preserve"> </w:t>
                  </w:r>
                  <w:r>
                    <w:t>学</w:t>
                  </w:r>
                </w:p>
              </w:txbxContent>
            </v:textbox>
          </v:shape>
        </w:pict>
      </w:r>
      <w:r>
        <w:rPr>
          <w:rFonts w:hint="eastAsia" w:ascii="黑体" w:hAnsi="黑体" w:eastAsia="黑体" w:cs="Arial"/>
          <w:kern w:val="0"/>
          <w:sz w:val="32"/>
          <w:szCs w:val="32"/>
        </w:rPr>
        <w:pict>
          <v:shape id="_x0000_s1051" o:spid="_x0000_s1051" o:spt="202" type="#_x0000_t202" style="position:absolute;left:0pt;margin-left:189.8pt;margin-top:17.7pt;height:39.75pt;width:30pt;z-index:251678720;mso-width-relative:page;mso-height-relative:page;" coordsize="21600,21600">
            <v:path/>
            <v:fill focussize="0,0"/>
            <v:stroke joinstyle="miter"/>
            <v:imagedata o:title=""/>
            <o:lock v:ext="edit"/>
            <v:textbox style="layout-flow:vertical-ideographic;">
              <w:txbxContent>
                <w:p>
                  <w:r>
                    <w:t>语</w:t>
                  </w:r>
                  <w:r>
                    <w:rPr>
                      <w:rFonts w:hint="eastAsia"/>
                    </w:rPr>
                    <w:t xml:space="preserve"> </w:t>
                  </w:r>
                  <w:r>
                    <w:t>文</w:t>
                  </w:r>
                </w:p>
              </w:txbxContent>
            </v:textbox>
          </v:shape>
        </w:pict>
      </w:r>
      <w:r>
        <w:rPr>
          <w:rFonts w:hint="eastAsia" w:ascii="黑体" w:hAnsi="黑体" w:eastAsia="黑体" w:cs="Arial"/>
          <w:kern w:val="0"/>
          <w:sz w:val="32"/>
          <w:szCs w:val="32"/>
        </w:rPr>
        <w:pict>
          <v:shape id="_x0000_s1050" o:spid="_x0000_s1050" o:spt="202" type="#_x0000_t202" style="position:absolute;left:0pt;margin-left:160.55pt;margin-top:17.7pt;height:39.75pt;width:29.25pt;z-index:251677696;mso-width-relative:page;mso-height-relative:page;" coordsize="21600,21600">
            <v:path/>
            <v:fill focussize="0,0"/>
            <v:stroke joinstyle="miter"/>
            <v:imagedata o:title=""/>
            <o:lock v:ext="edit"/>
            <v:textbox style="layout-flow:vertical-ideographic;">
              <w:txbxContent>
                <w:p>
                  <w:r>
                    <w:t>德育课</w:t>
                  </w:r>
                </w:p>
              </w:txbxContent>
            </v:textbox>
          </v:shape>
        </w:pict>
      </w:r>
      <w:r>
        <w:rPr>
          <w:rFonts w:hint="eastAsia" w:ascii="黑体" w:hAnsi="黑体" w:eastAsia="黑体" w:cs="Arial"/>
          <w:kern w:val="0"/>
          <w:sz w:val="32"/>
          <w:szCs w:val="32"/>
        </w:rPr>
        <w:pict>
          <v:shape id="_x0000_s1056" o:spid="_x0000_s1056" o:spt="202" type="#_x0000_t202" style="position:absolute;left:0pt;margin-left:339.8pt;margin-top:17.7pt;height:39.75pt;width:57pt;z-index:251682816;mso-width-relative:page;mso-height-relative:page;" coordsize="21600,21600">
            <v:path/>
            <v:fill focussize="0,0"/>
            <v:stroke joinstyle="miter"/>
            <v:imagedata o:title=""/>
            <o:lock v:ext="edit"/>
            <v:textbox>
              <w:txbxContent>
                <w:p>
                  <w:r>
                    <w:t>体育与健康</w:t>
                  </w:r>
                </w:p>
              </w:txbxContent>
            </v:textbox>
          </v:shape>
        </w:pict>
      </w:r>
      <w:r>
        <w:rPr>
          <w:rFonts w:hint="eastAsia" w:ascii="黑体" w:hAnsi="黑体" w:eastAsia="黑体" w:cs="Arial"/>
          <w:kern w:val="0"/>
          <w:sz w:val="32"/>
          <w:szCs w:val="32"/>
        </w:rPr>
        <w:pict>
          <v:shape id="_x0000_s1058" o:spid="_x0000_s1058" o:spt="202" type="#_x0000_t202" style="position:absolute;left:0pt;margin-left:429.05pt;margin-top:17.7pt;height:39.75pt;width:29.25pt;z-index:251684864;mso-width-relative:page;mso-height-relative:page;" coordsize="21600,21600">
            <v:path/>
            <v:fill focussize="0,0"/>
            <v:stroke joinstyle="miter"/>
            <v:imagedata o:title=""/>
            <o:lock v:ext="edit"/>
            <v:textbox style="layout-flow:vertical-ideographic;">
              <w:txbxContent>
                <w:p>
                  <w:r>
                    <w:t>其</w:t>
                  </w:r>
                  <w:r>
                    <w:rPr>
                      <w:rFonts w:hint="eastAsia"/>
                    </w:rPr>
                    <w:t xml:space="preserve"> </w:t>
                  </w:r>
                  <w:r>
                    <w:t>他</w:t>
                  </w:r>
                </w:p>
              </w:txbxContent>
            </v:textbox>
          </v:shape>
        </w:pict>
      </w:r>
      <w:r>
        <w:rPr>
          <w:rFonts w:hint="eastAsia" w:ascii="黑体" w:hAnsi="黑体" w:eastAsia="黑体" w:cs="Arial"/>
          <w:kern w:val="0"/>
          <w:sz w:val="32"/>
          <w:szCs w:val="32"/>
        </w:rPr>
        <w:pict>
          <v:shape id="_x0000_s1059" o:spid="_x0000_s1059" o:spt="32" type="#_x0000_t32" style="position:absolute;left:0pt;margin-left:174.15pt;margin-top:4.2pt;height:13.5pt;width:0pt;z-index:251685888;mso-width-relative:page;mso-height-relative:page;" o:connectortype="straight" filled="f" coordsize="21600,21600">
            <v:path arrowok="t"/>
            <v:fill on="f" focussize="0,0"/>
            <v:stroke/>
            <v:imagedata o:title=""/>
            <o:lock v:ext="edit"/>
          </v:shape>
        </w:pict>
      </w:r>
      <w:r>
        <w:rPr>
          <w:rFonts w:hint="eastAsia" w:ascii="黑体" w:hAnsi="黑体" w:eastAsia="黑体" w:cs="Arial"/>
          <w:kern w:val="0"/>
          <w:sz w:val="32"/>
          <w:szCs w:val="32"/>
        </w:rPr>
        <w:pict>
          <v:shape id="_x0000_s1035" o:spid="_x0000_s1035" o:spt="202" type="#_x0000_t202" style="position:absolute;left:0pt;margin-left:36.75pt;margin-top:28.95pt;height:24.75pt;width:83.25pt;z-index:251666432;mso-width-relative:page;mso-height-relative:page;" filled="f" stroked="f" coordsize="21600,21600">
            <v:path/>
            <v:fill on="f" focussize="0,0"/>
            <v:stroke on="f" joinstyle="miter"/>
            <v:imagedata o:title=""/>
            <o:lock v:ext="edit"/>
            <v:textbox>
              <w:txbxContent>
                <w:p>
                  <w:pPr>
                    <w:ind w:firstLine="210" w:firstLineChars="100"/>
                  </w:pPr>
                  <w:r>
                    <w:t>公共基础课</w:t>
                  </w:r>
                </w:p>
              </w:txbxContent>
            </v:textbox>
          </v:shape>
        </w:pict>
      </w:r>
      <w:r>
        <w:rPr>
          <w:rFonts w:hint="eastAsia" w:ascii="黑体" w:hAnsi="黑体" w:eastAsia="黑体" w:cs="Arial"/>
          <w:kern w:val="0"/>
          <w:sz w:val="32"/>
          <w:szCs w:val="32"/>
        </w:rPr>
        <w:pict>
          <v:rect id="_x0000_s1034" o:spid="_x0000_s1034" o:spt="1" style="position:absolute;left:0pt;margin-left:24.75pt;margin-top:19.2pt;height:38.25pt;width:102pt;z-index:251665408;mso-width-relative:page;mso-height-relative:page;" coordsize="21600,21600">
            <v:path/>
            <v:fill focussize="0,0"/>
            <v:stroke/>
            <v:imagedata o:title=""/>
            <o:lock v:ext="edit"/>
          </v:rect>
        </w:pict>
      </w:r>
    </w:p>
    <w:p>
      <w:pPr>
        <w:widowControl/>
        <w:spacing w:line="360" w:lineRule="auto"/>
        <w:jc w:val="left"/>
        <w:rPr>
          <w:rFonts w:hint="eastAsia" w:ascii="黑体" w:hAnsi="黑体" w:eastAsia="黑体" w:cs="Arial"/>
          <w:kern w:val="0"/>
          <w:sz w:val="32"/>
          <w:szCs w:val="32"/>
        </w:rPr>
      </w:pPr>
    </w:p>
    <w:p>
      <w:pPr>
        <w:widowControl/>
        <w:spacing w:line="360" w:lineRule="auto"/>
        <w:jc w:val="left"/>
        <w:rPr>
          <w:rFonts w:hint="eastAsia" w:ascii="黑体" w:hAnsi="黑体" w:eastAsia="黑体" w:cs="Arial"/>
          <w:kern w:val="0"/>
          <w:sz w:val="32"/>
          <w:szCs w:val="32"/>
        </w:rPr>
      </w:pPr>
      <w:r>
        <w:rPr>
          <w:rFonts w:hint="eastAsia" w:ascii="黑体" w:hAnsi="黑体" w:eastAsia="黑体" w:cs="Arial"/>
          <w:kern w:val="0"/>
          <w:sz w:val="32"/>
          <w:szCs w:val="32"/>
        </w:rPr>
        <w:t>九、课程设置及要求</w:t>
      </w:r>
    </w:p>
    <w:p>
      <w:pPr>
        <w:widowControl/>
        <w:spacing w:line="360" w:lineRule="auto"/>
        <w:ind w:firstLine="540"/>
        <w:jc w:val="left"/>
        <w:rPr>
          <w:rFonts w:hint="eastAsia" w:cs="Arial" w:asciiTheme="minorEastAsia" w:hAnsiTheme="minorEastAsia" w:eastAsiaTheme="minorEastAsia"/>
          <w:kern w:val="0"/>
          <w:sz w:val="24"/>
          <w:szCs w:val="24"/>
        </w:rPr>
      </w:pPr>
      <w:r>
        <w:rPr>
          <w:rFonts w:hint="eastAsia" w:cs="Arial" w:asciiTheme="minorEastAsia" w:hAnsiTheme="minorEastAsia" w:eastAsiaTheme="minorEastAsia"/>
          <w:kern w:val="0"/>
          <w:sz w:val="24"/>
          <w:szCs w:val="24"/>
        </w:rPr>
        <w:t>本专业课程设置分为公共基础课和专业技能课。</w:t>
      </w:r>
    </w:p>
    <w:p>
      <w:pPr>
        <w:widowControl/>
        <w:spacing w:line="360" w:lineRule="auto"/>
        <w:ind w:firstLine="540"/>
        <w:jc w:val="left"/>
        <w:rPr>
          <w:rFonts w:hint="eastAsia" w:cs="Arial" w:asciiTheme="minorEastAsia" w:hAnsiTheme="minorEastAsia" w:eastAsiaTheme="minorEastAsia"/>
          <w:kern w:val="0"/>
          <w:sz w:val="24"/>
          <w:szCs w:val="24"/>
        </w:rPr>
      </w:pPr>
      <w:r>
        <w:rPr>
          <w:rFonts w:hint="eastAsia" w:cs="Arial" w:asciiTheme="minorEastAsia" w:hAnsiTheme="minorEastAsia" w:eastAsiaTheme="minorEastAsia"/>
          <w:kern w:val="0"/>
          <w:sz w:val="24"/>
          <w:szCs w:val="24"/>
        </w:rPr>
        <w:t>公共基础课包括德育课、文化课、体育与健康、，艺术（或音乐、美术），以及其他自然科学和人文科学类基础课。</w:t>
      </w:r>
    </w:p>
    <w:p>
      <w:pPr>
        <w:widowControl/>
        <w:spacing w:line="360" w:lineRule="auto"/>
        <w:ind w:firstLine="540"/>
        <w:jc w:val="left"/>
        <w:rPr>
          <w:rFonts w:hint="eastAsia" w:cs="Arial" w:asciiTheme="minorEastAsia" w:hAnsiTheme="minorEastAsia" w:eastAsiaTheme="minorEastAsia"/>
          <w:kern w:val="0"/>
          <w:sz w:val="24"/>
          <w:szCs w:val="24"/>
        </w:rPr>
      </w:pPr>
      <w:r>
        <w:rPr>
          <w:rFonts w:hint="eastAsia" w:cs="Arial" w:asciiTheme="minorEastAsia" w:hAnsiTheme="minorEastAsia" w:eastAsiaTheme="minorEastAsia"/>
          <w:kern w:val="0"/>
          <w:sz w:val="24"/>
          <w:szCs w:val="24"/>
        </w:rPr>
        <w:t>专业技能课包括专业核心课和专业技能课，实习实训是专业技能课教学的重要内容，含校内外实训、认知实习、跟刚实习、顶岗实习等多种形式。</w:t>
      </w:r>
    </w:p>
    <w:p>
      <w:pPr>
        <w:pStyle w:val="8"/>
        <w:widowControl/>
        <w:numPr>
          <w:ilvl w:val="0"/>
          <w:numId w:val="1"/>
        </w:numPr>
        <w:spacing w:line="360" w:lineRule="auto"/>
        <w:ind w:firstLineChars="0"/>
        <w:jc w:val="left"/>
        <w:rPr>
          <w:rFonts w:hint="eastAsia" w:ascii="黑体" w:hAnsi="黑体" w:eastAsia="黑体" w:cs="Arial"/>
          <w:kern w:val="0"/>
          <w:sz w:val="32"/>
          <w:szCs w:val="32"/>
        </w:rPr>
      </w:pPr>
      <w:r>
        <w:rPr>
          <w:rFonts w:hint="eastAsia" w:ascii="黑体" w:hAnsi="黑体" w:eastAsia="黑体" w:cs="Arial"/>
          <w:kern w:val="0"/>
          <w:sz w:val="32"/>
          <w:szCs w:val="32"/>
        </w:rPr>
        <w:t>公共基础课</w:t>
      </w:r>
    </w:p>
    <w:p>
      <w:pPr>
        <w:widowControl/>
        <w:spacing w:line="360" w:lineRule="auto"/>
        <w:ind w:firstLine="640" w:firstLineChars="200"/>
        <w:jc w:val="left"/>
        <w:outlineLvl w:val="0"/>
        <w:rPr>
          <w:rFonts w:ascii="宋体" w:hAnsi="宋体"/>
          <w:kern w:val="0"/>
          <w:sz w:val="24"/>
          <w:szCs w:val="24"/>
        </w:rPr>
      </w:pPr>
      <w:r>
        <w:rPr>
          <w:rFonts w:hint="eastAsia" w:ascii="黑体" w:hAnsi="黑体" w:eastAsia="黑体" w:cs="Arial"/>
          <w:kern w:val="0"/>
          <w:sz w:val="32"/>
          <w:szCs w:val="32"/>
        </w:rPr>
        <w:t xml:space="preserve"> </w:t>
      </w:r>
      <w:r>
        <w:rPr>
          <w:rFonts w:hint="eastAsia" w:ascii="宋体" w:hAnsi="宋体"/>
          <w:kern w:val="0"/>
          <w:sz w:val="24"/>
          <w:szCs w:val="24"/>
        </w:rPr>
        <w:t>1、德育课：德育是学生必修的公共课。它的主要任务是对学生进行马克思主义、毛泽东思想和建设有中国特色的社会主义理论教育，引导学生树立科学的世界观和为人民服务的人生观，认识和遵循人类社会发展的客观规律，使学生具有良好的思想政治素质和职业道德素质，把学生培养成为德智体美全面发展的“四有”新人，讲授辩证唯物主义和历史唯物主义的基本理论，使学生树立辩证唯物主义的世界观，提高分析问题和解决问题的能力。</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课程包括：职业道德与法律，哲学与人生，经济政治与社会和职业生涯规划。学时：2课时/周，各开一个学期。</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2、语文：在初中的基础上，进一步提高学生正确理解和运用祖国语言文字的水平，使他们具有适应实际需要的现代文阅读能力、写作能力和口语交际能力；掌握语文学习的基本方法，养成自学语文的习惯，培养发现、探究、解决问题的能力，为继续学习和终身发展打好基础。</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学时：4课时/周、4课时/周和2课时/周，共开三个学期。</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 xml:space="preserve">3、数学：在初中数学的基础上，学习必需的代数、三角、几何和概率统计的基础知识，进一步提高学生的基本运算能力、基本计算工具使用能力、空间想象能力、数形结合能力、逻辑思维能力和简单实际应用能力，提高学生分析问题和解决问题的能力，发展学生的创新意识，进一步培养学生的科学思维方法和辩证唯物主义思想。                            </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学时：4课时/周、4课时/周和2课时/周，共开三个学期。</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4、英语：在初中英语的基础上，使学生巩固、扩大基础知识，培养听、说、读、写的基本技能；注重培养学生运用英语进行交际的能力和继续学习的能力；激发和培养学生的学习兴趣，帮助学生树立自信心，养成良好的学习习惯，提高自主学习能力，形成有效的学习策略；开发智力，培养爱国主义精神，增强世界意识。加强语音训练，讲授基本语法、句型，扩大常用词汇和专用词汇，使学生具有外语基础知识。</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学时：4课时/周、4课时/周和2课时/周，共开三个学期。</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5、体育与健康：参照《国家体育锻炼标准》规定的内容组织教学。使学生掌握体育运动和体育卫生的一般知识和技能，养成良好的锻炼习惯，增强体质。</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学时： 2课时/周，共开五个学期。</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6、计算机应用基础：介绍计算机组成和硬件知识，掌握WINDOWS2000（或以上）操作系统，字处理软件WORD及表格处理软件EXCEL的使用，具有中英文录入技能和文书的编辑能力，了解数据库的基本知识和文件管理的方法。</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学时： 4课时/周，共开一个学期。</w:t>
      </w:r>
    </w:p>
    <w:p>
      <w:pPr>
        <w:pStyle w:val="8"/>
        <w:widowControl/>
        <w:numPr>
          <w:ilvl w:val="0"/>
          <w:numId w:val="1"/>
        </w:numPr>
        <w:spacing w:line="360" w:lineRule="auto"/>
        <w:ind w:firstLineChars="0"/>
        <w:jc w:val="left"/>
        <w:rPr>
          <w:rFonts w:hint="eastAsia" w:ascii="黑体" w:hAnsi="黑体" w:eastAsia="黑体"/>
          <w:kern w:val="0"/>
          <w:sz w:val="32"/>
          <w:szCs w:val="32"/>
        </w:rPr>
      </w:pPr>
      <w:r>
        <w:rPr>
          <w:rFonts w:hint="eastAsia" w:ascii="黑体" w:hAnsi="黑体" w:eastAsia="黑体"/>
          <w:kern w:val="0"/>
          <w:sz w:val="32"/>
          <w:szCs w:val="32"/>
        </w:rPr>
        <w:t>专业技能课</w:t>
      </w:r>
    </w:p>
    <w:p>
      <w:pPr>
        <w:pStyle w:val="8"/>
        <w:widowControl/>
        <w:numPr>
          <w:ilvl w:val="0"/>
          <w:numId w:val="2"/>
        </w:numPr>
        <w:spacing w:line="360" w:lineRule="auto"/>
        <w:ind w:firstLineChars="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专业核心课</w:t>
      </w:r>
    </w:p>
    <w:p>
      <w:pPr>
        <w:widowControl/>
        <w:spacing w:line="360" w:lineRule="auto"/>
        <w:ind w:left="34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（1）企业管理</w:t>
      </w:r>
    </w:p>
    <w:p>
      <w:pPr>
        <w:widowControl/>
        <w:spacing w:line="360" w:lineRule="auto"/>
        <w:ind w:left="345"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教学内容主要是有关于企业管理的基本知识，如计划与决策、生产管理、质量管理、市场营销、财务管理、人力资源管理、企业文化、管理信息系统、企业战略管理等内容，还增加了物流管理、企业形象战略、ＥＲＰ 原理、电子商务、物联网和企业国际化经营等内容。让学生在对企业进行了了解之后更好地学习会计知识。</w:t>
      </w:r>
    </w:p>
    <w:p>
      <w:pPr>
        <w:widowControl/>
        <w:spacing w:line="360" w:lineRule="auto"/>
        <w:ind w:left="34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学时： 4课时/周，共开一个学期。</w:t>
      </w:r>
    </w:p>
    <w:p>
      <w:pPr>
        <w:widowControl/>
        <w:spacing w:line="360" w:lineRule="auto"/>
        <w:ind w:left="34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（2）基础会计</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这门课的教学内容让学生从熟悉会计入门知识开始，掌握如何反映经济业务、如何记录经济业务、如何汇总经济业务、如何提供经济活动信息，最终让其展示学习成果。相对应学生在每个学习阶段分别掌握的是会计基本理论知识、填制与审核原始凭证的方法、填制与审核记账凭证的方法、登记账簿的方法、编制会计报表的方法等会计工作过程中的基本技能知识。通过学习，使学生掌握核算的基本理论、基本方法和会计的一般规律，为学习专业会计打好基础和提供一般理论指导。</w:t>
      </w:r>
    </w:p>
    <w:p>
      <w:pPr>
        <w:widowControl/>
        <w:spacing w:line="360" w:lineRule="auto"/>
        <w:ind w:firstLine="900" w:firstLineChars="37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学时：6课时/周，共开一个学期。</w:t>
      </w:r>
    </w:p>
    <w:p>
      <w:pPr>
        <w:widowControl/>
        <w:spacing w:line="360" w:lineRule="auto"/>
        <w:ind w:firstLine="420" w:firstLineChars="17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（3）财务会计</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系统讲授工业企业生产经营各环节会计核算的理论和方法，以及会计报表的编制。通过学习，使学生掌握工业企业会计核算的基本理论的方法，了解现行会计制度及有关方针、政策、法规。能独立地正确地履行会计监督职责，处理各项经济业务，编制各种会计报表。</w:t>
      </w:r>
    </w:p>
    <w:p>
      <w:pPr>
        <w:widowControl/>
        <w:spacing w:line="360" w:lineRule="auto"/>
        <w:ind w:firstLine="420" w:firstLineChars="17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学时： 6课时/周或4课时/周，共开两个学期。</w:t>
      </w:r>
    </w:p>
    <w:p>
      <w:pPr>
        <w:widowControl/>
        <w:spacing w:line="360" w:lineRule="auto"/>
        <w:ind w:firstLine="420" w:firstLineChars="17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（4）统计基础</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了解统计学的研究对象和方法、基本范畴、统计组织和定理等，掌握统计调查、统计整理的意义、方法等，从而掌握统计学基础理论、基本知识和统计方法。</w:t>
      </w:r>
    </w:p>
    <w:p>
      <w:pPr>
        <w:widowControl/>
        <w:spacing w:line="360" w:lineRule="auto"/>
        <w:ind w:firstLine="420" w:firstLineChars="17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学时： 4课时/周，共开一个学期。</w:t>
      </w:r>
    </w:p>
    <w:p>
      <w:pPr>
        <w:widowControl/>
        <w:spacing w:line="360" w:lineRule="auto"/>
        <w:ind w:firstLine="420" w:firstLineChars="17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（5）财经法规与职业道德：</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系统讲授会计法律制度、支付结算法律制度、税收征收管理法律制度和会计职业道德，为学生学习经济法基础储备必要的知识。</w:t>
      </w:r>
    </w:p>
    <w:p>
      <w:pPr>
        <w:widowControl/>
        <w:spacing w:line="360" w:lineRule="auto"/>
        <w:ind w:firstLine="420" w:firstLineChars="17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学时： 4课时/周，共开一个学期。</w:t>
      </w:r>
    </w:p>
    <w:p>
      <w:pPr>
        <w:widowControl/>
        <w:spacing w:line="360" w:lineRule="auto"/>
        <w:ind w:firstLine="420" w:firstLineChars="17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（6）经济法基础</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教学内容主要包括经济法总论、劳动合同和社会保障法律制度、支付结算法、增值税和消费税、企业所得税和个人所得税等，让学生掌握初级会计资格考试中有关于经济法的理论知识。</w:t>
      </w:r>
    </w:p>
    <w:p>
      <w:pPr>
        <w:widowControl/>
        <w:spacing w:line="360" w:lineRule="auto"/>
        <w:ind w:firstLine="420" w:firstLineChars="17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学时： 4课时/周，共开一个学期。</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（7）初级会计实务</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严格按照会计专业资格考试大纲对教学内容进行讲授，让学生能够更好的对考试内容进行掌握和了解。</w:t>
      </w:r>
    </w:p>
    <w:p>
      <w:pPr>
        <w:widowControl/>
        <w:spacing w:line="360" w:lineRule="auto"/>
        <w:ind w:firstLine="420" w:firstLineChars="17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学时：6课时/周和4课时/周，共开两个学期。</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（8）成本会计</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教学内容以制造业成本计算的成本法为例,让学生了解成本会计的对象、职能、任务和工作组织,成本核算的要求和程序,要素费用的归集和分配,辅助生产成本的归集和分配,制造费用与废品损失的归集和分配,生产成本在完工产品与月末在产品之间的分配方法以及产品成本计算的方法等,让学生会计算，懂方法。</w:t>
      </w:r>
    </w:p>
    <w:p>
      <w:pPr>
        <w:widowControl/>
        <w:spacing w:line="360" w:lineRule="auto"/>
        <w:ind w:firstLine="420" w:firstLineChars="17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学时：4课时/周，共开一个学期。</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（9）会计电算化</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运用畅捷通软件，掌握企业会计信息系统分析与设计的基本原理、电算化会计软件的初始化设置、总账系统、报表系统以及工资核算、固定资产核算等业务核算子系统的操作方法；理解会计信息系统的数据流程、模块构建，会计电算化对传统手工会计方式的影响；了解企业实行会计电算化的管理要求与制度规范、购销存业务核算子系统。</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学时： 6课时/周，共开一个学期。</w:t>
      </w:r>
    </w:p>
    <w:p>
      <w:pPr>
        <w:pStyle w:val="8"/>
        <w:widowControl/>
        <w:numPr>
          <w:ilvl w:val="0"/>
          <w:numId w:val="2"/>
        </w:numPr>
        <w:spacing w:line="360" w:lineRule="auto"/>
        <w:ind w:firstLineChars="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专业技能（方向）课</w:t>
      </w:r>
    </w:p>
    <w:p>
      <w:pPr>
        <w:widowControl/>
        <w:spacing w:line="360" w:lineRule="auto"/>
        <w:ind w:left="34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1）演讲与口才：教学内容只要是培养学生当众讲话的口语表达能力及生活中的口才，做到能说、善说、会说，满足工作、学习、生活的需要。用理论指导实践，使学生的演讲与口才水平在实际运用中得到较快的提高。</w:t>
      </w:r>
    </w:p>
    <w:p>
      <w:pPr>
        <w:widowControl/>
        <w:spacing w:line="360" w:lineRule="auto"/>
        <w:ind w:firstLine="900" w:firstLineChars="37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学时：2课时/周，共开一个学期。</w:t>
      </w:r>
    </w:p>
    <w:p>
      <w:pPr>
        <w:widowControl/>
        <w:spacing w:line="360" w:lineRule="auto"/>
        <w:ind w:firstLine="420" w:firstLineChars="17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（2）会计基本技能：</w:t>
      </w:r>
    </w:p>
    <w:p>
      <w:pPr>
        <w:pStyle w:val="8"/>
        <w:widowControl/>
        <w:spacing w:line="360" w:lineRule="auto"/>
        <w:ind w:left="705" w:firstLine="0" w:firstLineChars="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①汉字录入：掌握计算机汉字五笔字型录入方法，能熟练操作，培养学生适应工作的能力。</w:t>
      </w:r>
    </w:p>
    <w:p>
      <w:pPr>
        <w:widowControl/>
        <w:spacing w:line="360" w:lineRule="auto"/>
        <w:ind w:firstLine="660" w:firstLineChars="27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②珠算：学习珠算的基本理论和方法，熟练掌握珠算技能；</w:t>
      </w:r>
    </w:p>
    <w:p>
      <w:pPr>
        <w:pStyle w:val="8"/>
        <w:widowControl/>
        <w:spacing w:line="360" w:lineRule="auto"/>
        <w:ind w:left="705" w:firstLine="0" w:firstLineChars="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③点钞：熟练掌握常用点钞方法，努力提高点钞的速度和正确率，学会捆钞，具有识别伪钞的能力。</w:t>
      </w:r>
    </w:p>
    <w:p>
      <w:pPr>
        <w:widowControl/>
        <w:spacing w:line="360" w:lineRule="auto"/>
        <w:ind w:firstLine="660" w:firstLineChars="27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④小键盘;正确使用规定的指法熟练地快速的掌握小键盘的录入。</w:t>
      </w:r>
    </w:p>
    <w:p>
      <w:pPr>
        <w:pStyle w:val="8"/>
        <w:widowControl/>
        <w:spacing w:line="360" w:lineRule="auto"/>
        <w:ind w:left="705" w:firstLine="0" w:firstLineChars="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学时： 4课时/周和2课时/周，共开两个学期。</w:t>
      </w:r>
    </w:p>
    <w:p>
      <w:pPr>
        <w:widowControl/>
        <w:spacing w:line="360" w:lineRule="auto"/>
        <w:ind w:left="34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（3）基础会计实训</w:t>
      </w:r>
    </w:p>
    <w:p>
      <w:pPr>
        <w:widowControl/>
        <w:spacing w:line="360" w:lineRule="auto"/>
        <w:ind w:left="345"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本课程以基础会计知识为基础，以《企业会计准则》、《会计基础工作规范》、《支付结算办法》等法规为依据，涉及填制凭证、登记账簿、编制报表等内容。让学生把基础会计学的知识提高到动手的层次，会做账证表。</w:t>
      </w:r>
    </w:p>
    <w:p>
      <w:pPr>
        <w:widowControl/>
        <w:spacing w:line="360" w:lineRule="auto"/>
        <w:ind w:left="34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学时： 4课时/周，共开一个学期。</w:t>
      </w:r>
    </w:p>
    <w:p>
      <w:pPr>
        <w:widowControl/>
        <w:spacing w:line="360" w:lineRule="auto"/>
        <w:ind w:left="34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（4）出纳岗位实训</w:t>
      </w:r>
    </w:p>
    <w:p>
      <w:pPr>
        <w:widowControl/>
        <w:spacing w:line="360" w:lineRule="auto"/>
        <w:ind w:left="345"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该课程紧密结合出纳员岗位的实际工作，围绕出纳员岗位实训概述、出纳员基本技能训练、现金业务处理训练、银行存款日常收支业务训练、银行结算业务训练和出纳员岗位综合训练6个方面设计了30个单项训练及1个综合训练，营造一个仿真环境，模拟企业出纳工作，让学生了解出纳岗位，掌握作为一名出纳人员应掌握哪些出纳业务处理能力。</w:t>
      </w:r>
    </w:p>
    <w:p>
      <w:pPr>
        <w:widowControl/>
        <w:spacing w:line="360" w:lineRule="auto"/>
        <w:ind w:left="34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学时： 4课时/周，共开一个学期。</w:t>
      </w:r>
    </w:p>
    <w:p>
      <w:pPr>
        <w:widowControl/>
        <w:spacing w:line="360" w:lineRule="auto"/>
        <w:ind w:left="34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3、综合实训</w:t>
      </w:r>
    </w:p>
    <w:p>
      <w:pPr>
        <w:widowControl/>
        <w:spacing w:line="360" w:lineRule="auto"/>
        <w:ind w:left="34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（1）企业会计综合实训</w:t>
      </w:r>
    </w:p>
    <w:p>
      <w:pPr>
        <w:widowControl/>
        <w:spacing w:line="360" w:lineRule="auto"/>
        <w:ind w:left="34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该课程的教学内容是模拟一个企业，从建账开始模拟一个企业的运营，通过反映经济业务发生仿真的原始凭证，到填制记账凭证，登记账簿，但最后的编制企业的各类报表。真实的模拟企业经济业务的发生，让学生把财务会计中学到的理论知识更好地加以运用。学时： 4课时/周，共开一个学期。</w:t>
      </w:r>
    </w:p>
    <w:p>
      <w:pPr>
        <w:widowControl/>
        <w:spacing w:line="360" w:lineRule="auto"/>
        <w:ind w:left="34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（2）财税一体化综合实训</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财税一体化综合实训使用了福思特多媒体教学平台，该教学平台融合财会类几十门课程，贴合最新的会计准则，学习内容设置从简单到复杂，浅显易懂，易于让学生接纳吸收。学生在学习过程中，做到了理论知识和实操相结合，让学生不断巩固熟练知识要点，为学生从事将来会计领域的工作打下坚实的基础。</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系统在提供完备的学生端学习平台的同时，还配备了一整套对学生的学籍信息、学习效果、作业完成情况、平时实习总结和考试成绩等进行反馈的教务平台，便于教师对学生的管理，做到让教师能在教学平台终端轻易了解到学生的学习状况，能随时查看学生的作业完成情况，做到对学生的平时学习状况的跟踪了解，能及时发现学生学习过程出现的问题，解决学生的疑惑，并且能对学生一段时间的学习情况作进一步的分析。</w:t>
      </w:r>
    </w:p>
    <w:p>
      <w:pPr>
        <w:widowControl/>
        <w:spacing w:line="360" w:lineRule="auto"/>
        <w:ind w:left="345"/>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学时： 4课时/周，共开一个学期。</w:t>
      </w:r>
    </w:p>
    <w:p>
      <w:pPr>
        <w:pStyle w:val="8"/>
        <w:widowControl/>
        <w:numPr>
          <w:ilvl w:val="1"/>
          <w:numId w:val="1"/>
        </w:numPr>
        <w:spacing w:line="360" w:lineRule="auto"/>
        <w:ind w:firstLineChars="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顶岗实习</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目标及内容：了解实习单位的组织机构、工作分工、各部门职责；熟悉会计各业务岗位的工作内容、职责范围、管理要求与核算方法。企业产品生产工艺流程；企业会计核算流程；原始凭证的填制与审核；记账凭证的填制；凭证稽核；登记账簿，包括总账、明细账等；编制会计报表；撰写实习报告。</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要求：巩固、丰富和扩大三年所学的专业知识，开拓视野，增强运用计算机处理财会业务的能力，做到理论联系实际，为适应本职工作创造条件；实习结束做好鉴定。</w:t>
      </w:r>
    </w:p>
    <w:p>
      <w:pPr>
        <w:widowControl/>
        <w:spacing w:line="360" w:lineRule="auto"/>
        <w:jc w:val="left"/>
        <w:rPr>
          <w:rFonts w:hint="eastAsia" w:ascii="黑体" w:hAnsi="黑体" w:eastAsia="黑体"/>
          <w:kern w:val="0"/>
          <w:sz w:val="32"/>
          <w:szCs w:val="32"/>
        </w:rPr>
      </w:pPr>
      <w:r>
        <w:rPr>
          <w:rFonts w:hint="eastAsia" w:ascii="黑体" w:hAnsi="黑体" w:eastAsia="黑体"/>
          <w:kern w:val="0"/>
          <w:sz w:val="32"/>
          <w:szCs w:val="32"/>
        </w:rPr>
        <w:t>十、教学时间安排</w:t>
      </w:r>
    </w:p>
    <w:p>
      <w:pPr>
        <w:widowControl/>
        <w:spacing w:line="360" w:lineRule="auto"/>
        <w:ind w:left="345" w:firstLine="480" w:firstLineChars="200"/>
        <w:jc w:val="left"/>
        <w:rPr>
          <w:rFonts w:hint="eastAsia" w:asciiTheme="minorEastAsia" w:hAnsiTheme="minorEastAsia" w:eastAsiaTheme="minorEastAsia"/>
          <w:kern w:val="0"/>
          <w:sz w:val="24"/>
          <w:szCs w:val="24"/>
        </w:rPr>
      </w:pPr>
    </w:p>
    <w:tbl>
      <w:tblPr>
        <w:tblStyle w:val="5"/>
        <w:tblpPr w:leftFromText="180" w:rightFromText="180" w:vertAnchor="text" w:horzAnchor="page" w:tblpX="1258" w:tblpY="-2188"/>
        <w:tblW w:w="10320" w:type="dxa"/>
        <w:tblInd w:w="0" w:type="dxa"/>
        <w:tblLayout w:type="fixed"/>
        <w:tblCellMar>
          <w:top w:w="15" w:type="dxa"/>
          <w:left w:w="108" w:type="dxa"/>
          <w:bottom w:w="15" w:type="dxa"/>
          <w:right w:w="108" w:type="dxa"/>
        </w:tblCellMar>
      </w:tblPr>
      <w:tblGrid>
        <w:gridCol w:w="505"/>
        <w:gridCol w:w="2229"/>
        <w:gridCol w:w="535"/>
        <w:gridCol w:w="447"/>
        <w:gridCol w:w="1065"/>
        <w:gridCol w:w="656"/>
        <w:gridCol w:w="477"/>
        <w:gridCol w:w="550"/>
        <w:gridCol w:w="652"/>
        <w:gridCol w:w="653"/>
        <w:gridCol w:w="652"/>
        <w:gridCol w:w="653"/>
        <w:gridCol w:w="608"/>
        <w:gridCol w:w="638"/>
      </w:tblGrid>
      <w:tr>
        <w:tblPrEx>
          <w:tblLayout w:type="fixed"/>
          <w:tblCellMar>
            <w:top w:w="15" w:type="dxa"/>
            <w:left w:w="108" w:type="dxa"/>
            <w:bottom w:w="15" w:type="dxa"/>
            <w:right w:w="108" w:type="dxa"/>
          </w:tblCellMar>
        </w:tblPrEx>
        <w:trPr>
          <w:trHeight w:val="405" w:hRule="atLeast"/>
        </w:trPr>
        <w:tc>
          <w:tcPr>
            <w:tcW w:w="10320" w:type="dxa"/>
            <w:gridSpan w:val="14"/>
            <w:tcBorders>
              <w:bottom w:val="single" w:color="000000" w:sz="12" w:space="0"/>
            </w:tcBorders>
            <w:vAlign w:val="center"/>
          </w:tcPr>
          <w:p>
            <w:pPr>
              <w:widowControl/>
              <w:jc w:val="center"/>
              <w:rPr>
                <w:rFonts w:ascii="宋体" w:hAnsi="宋体"/>
                <w:b/>
                <w:bCs/>
                <w:color w:val="000000"/>
                <w:kern w:val="0"/>
                <w:sz w:val="28"/>
                <w:szCs w:val="28"/>
              </w:rPr>
            </w:pPr>
            <w:r>
              <w:rPr>
                <w:rFonts w:hint="eastAsia" w:ascii="宋体" w:hAnsi="宋体"/>
                <w:b/>
                <w:bCs/>
                <w:color w:val="000000"/>
                <w:kern w:val="0"/>
                <w:sz w:val="28"/>
                <w:szCs w:val="28"/>
              </w:rPr>
              <w:t>会计专业弹性学制3年制教学计划进度表（</w:t>
            </w:r>
            <w:r>
              <w:rPr>
                <w:rFonts w:ascii="宋体" w:hAnsi="宋体"/>
                <w:b/>
                <w:bCs/>
                <w:color w:val="000000"/>
                <w:kern w:val="0"/>
                <w:sz w:val="28"/>
              </w:rPr>
              <w:t>2017级）</w:t>
            </w:r>
          </w:p>
        </w:tc>
      </w:tr>
      <w:tr>
        <w:tblPrEx>
          <w:tblLayout w:type="fixed"/>
          <w:tblCellMar>
            <w:top w:w="15" w:type="dxa"/>
            <w:left w:w="108" w:type="dxa"/>
            <w:bottom w:w="15" w:type="dxa"/>
            <w:right w:w="108" w:type="dxa"/>
          </w:tblCellMar>
        </w:tblPrEx>
        <w:trPr>
          <w:trHeight w:val="405" w:hRule="atLeast"/>
        </w:trPr>
        <w:tc>
          <w:tcPr>
            <w:tcW w:w="505" w:type="dxa"/>
            <w:vMerge w:val="restart"/>
            <w:tcBorders>
              <w:top w:val="single" w:color="000000" w:sz="12"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b/>
                <w:bCs/>
                <w:color w:val="000000"/>
                <w:kern w:val="0"/>
                <w:sz w:val="22"/>
                <w:szCs w:val="22"/>
              </w:rPr>
            </w:pPr>
            <w:r>
              <w:rPr>
                <w:rFonts w:hint="eastAsia" w:ascii="宋体" w:hAnsi="宋体"/>
                <w:b/>
                <w:bCs/>
                <w:color w:val="000000"/>
                <w:kern w:val="0"/>
                <w:sz w:val="22"/>
                <w:szCs w:val="22"/>
              </w:rPr>
              <w:t>课程类别</w:t>
            </w:r>
          </w:p>
        </w:tc>
        <w:tc>
          <w:tcPr>
            <w:tcW w:w="2229" w:type="dxa"/>
            <w:vMerge w:val="restart"/>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b/>
                <w:bCs/>
                <w:color w:val="000000"/>
                <w:kern w:val="0"/>
                <w:sz w:val="22"/>
                <w:szCs w:val="22"/>
              </w:rPr>
            </w:pPr>
            <w:r>
              <w:rPr>
                <w:rFonts w:hint="eastAsia" w:ascii="宋体" w:hAnsi="宋体"/>
                <w:b/>
                <w:bCs/>
                <w:color w:val="000000"/>
                <w:kern w:val="0"/>
                <w:sz w:val="22"/>
                <w:szCs w:val="22"/>
              </w:rPr>
              <w:t>课程名称</w:t>
            </w:r>
          </w:p>
        </w:tc>
        <w:tc>
          <w:tcPr>
            <w:tcW w:w="535" w:type="dxa"/>
            <w:vMerge w:val="restart"/>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b/>
                <w:bCs/>
                <w:color w:val="000000"/>
                <w:kern w:val="0"/>
                <w:sz w:val="22"/>
                <w:szCs w:val="22"/>
              </w:rPr>
            </w:pPr>
            <w:r>
              <w:rPr>
                <w:rFonts w:hint="eastAsia" w:ascii="宋体" w:hAnsi="宋体"/>
                <w:b/>
                <w:bCs/>
                <w:color w:val="000000"/>
                <w:kern w:val="0"/>
                <w:sz w:val="22"/>
                <w:szCs w:val="22"/>
              </w:rPr>
              <w:t>考试性质</w:t>
            </w:r>
          </w:p>
        </w:tc>
        <w:tc>
          <w:tcPr>
            <w:tcW w:w="447" w:type="dxa"/>
            <w:vMerge w:val="restart"/>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b/>
                <w:bCs/>
                <w:color w:val="000000"/>
                <w:kern w:val="0"/>
                <w:sz w:val="22"/>
                <w:szCs w:val="22"/>
              </w:rPr>
            </w:pPr>
            <w:r>
              <w:rPr>
                <w:rFonts w:hint="eastAsia" w:ascii="宋体" w:hAnsi="宋体"/>
                <w:b/>
                <w:bCs/>
                <w:color w:val="000000"/>
                <w:kern w:val="0"/>
                <w:sz w:val="22"/>
                <w:szCs w:val="22"/>
              </w:rPr>
              <w:t>考核方式</w:t>
            </w:r>
          </w:p>
        </w:tc>
        <w:tc>
          <w:tcPr>
            <w:tcW w:w="1065" w:type="dxa"/>
            <w:vMerge w:val="restart"/>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b/>
                <w:bCs/>
                <w:color w:val="000000"/>
                <w:kern w:val="0"/>
                <w:sz w:val="22"/>
                <w:szCs w:val="22"/>
              </w:rPr>
            </w:pPr>
            <w:r>
              <w:rPr>
                <w:rFonts w:hint="eastAsia" w:ascii="宋体" w:hAnsi="宋体"/>
                <w:b/>
                <w:bCs/>
                <w:color w:val="000000"/>
                <w:kern w:val="0"/>
                <w:sz w:val="22"/>
                <w:szCs w:val="22"/>
              </w:rPr>
              <w:t>学分</w:t>
            </w:r>
          </w:p>
        </w:tc>
        <w:tc>
          <w:tcPr>
            <w:tcW w:w="656" w:type="dxa"/>
            <w:vMerge w:val="restart"/>
            <w:tcBorders>
              <w:top w:val="single" w:color="000000" w:sz="12" w:space="0"/>
              <w:left w:val="single" w:color="000000" w:sz="4" w:space="0"/>
              <w:bottom w:val="single" w:color="000000" w:sz="4" w:space="0"/>
            </w:tcBorders>
            <w:shd w:val="clear" w:color="auto" w:fill="FFFFFF"/>
            <w:vAlign w:val="center"/>
          </w:tcPr>
          <w:p>
            <w:pPr>
              <w:widowControl/>
              <w:jc w:val="center"/>
              <w:rPr>
                <w:rFonts w:ascii="宋体" w:hAnsi="宋体"/>
                <w:b/>
                <w:bCs/>
                <w:color w:val="000000"/>
                <w:kern w:val="0"/>
                <w:sz w:val="22"/>
                <w:szCs w:val="22"/>
              </w:rPr>
            </w:pPr>
            <w:r>
              <w:rPr>
                <w:rFonts w:hint="eastAsia" w:ascii="宋体" w:hAnsi="宋体"/>
                <w:b/>
                <w:bCs/>
                <w:color w:val="000000"/>
                <w:kern w:val="0"/>
                <w:sz w:val="22"/>
                <w:szCs w:val="22"/>
              </w:rPr>
              <w:t>学时</w:t>
            </w:r>
          </w:p>
        </w:tc>
        <w:tc>
          <w:tcPr>
            <w:tcW w:w="1027" w:type="dxa"/>
            <w:gridSpan w:val="2"/>
            <w:tcBorders>
              <w:top w:val="single" w:color="000000" w:sz="12" w:space="0"/>
              <w:left w:val="single" w:color="000000" w:sz="12" w:space="0"/>
              <w:bottom w:val="single" w:color="000000" w:sz="4" w:space="0"/>
              <w:right w:val="single" w:color="000000" w:sz="12" w:space="0"/>
            </w:tcBorders>
            <w:shd w:val="clear" w:color="auto" w:fill="FFFFFF"/>
            <w:vAlign w:val="center"/>
          </w:tcPr>
          <w:p>
            <w:pPr>
              <w:widowControl/>
              <w:jc w:val="center"/>
              <w:rPr>
                <w:rFonts w:ascii="宋体" w:hAnsi="宋体"/>
                <w:b/>
                <w:bCs/>
                <w:color w:val="000000"/>
                <w:kern w:val="0"/>
                <w:sz w:val="22"/>
                <w:szCs w:val="22"/>
              </w:rPr>
            </w:pPr>
            <w:r>
              <w:rPr>
                <w:rFonts w:hint="eastAsia" w:ascii="宋体" w:hAnsi="宋体"/>
                <w:b/>
                <w:bCs/>
                <w:color w:val="000000"/>
                <w:kern w:val="0"/>
                <w:sz w:val="22"/>
                <w:szCs w:val="22"/>
              </w:rPr>
              <w:t>周课时分配</w:t>
            </w:r>
          </w:p>
        </w:tc>
        <w:tc>
          <w:tcPr>
            <w:tcW w:w="3856" w:type="dxa"/>
            <w:gridSpan w:val="6"/>
            <w:tcBorders>
              <w:top w:val="single" w:color="000000" w:sz="12" w:space="0"/>
              <w:left w:val="single" w:color="000000" w:sz="12" w:space="0"/>
              <w:bottom w:val="single" w:color="000000" w:sz="4" w:space="0"/>
              <w:right w:val="single" w:color="000000" w:sz="12" w:space="0"/>
            </w:tcBorders>
            <w:shd w:val="clear" w:color="auto" w:fill="FFFFFF"/>
            <w:vAlign w:val="center"/>
          </w:tcPr>
          <w:p>
            <w:pPr>
              <w:widowControl/>
              <w:jc w:val="center"/>
              <w:rPr>
                <w:rFonts w:ascii="宋体" w:hAnsi="宋体"/>
                <w:b/>
                <w:bCs/>
                <w:color w:val="000000"/>
                <w:kern w:val="0"/>
                <w:sz w:val="22"/>
                <w:szCs w:val="22"/>
              </w:rPr>
            </w:pPr>
            <w:r>
              <w:rPr>
                <w:rFonts w:hint="eastAsia" w:ascii="宋体" w:hAnsi="宋体"/>
                <w:b/>
                <w:bCs/>
                <w:color w:val="000000"/>
                <w:kern w:val="0"/>
                <w:sz w:val="22"/>
                <w:szCs w:val="22"/>
              </w:rPr>
              <w:t>学年  学期  周数</w:t>
            </w:r>
          </w:p>
        </w:tc>
      </w:tr>
      <w:tr>
        <w:tblPrEx>
          <w:tblLayout w:type="fixed"/>
          <w:tblCellMar>
            <w:top w:w="15" w:type="dxa"/>
            <w:left w:w="108" w:type="dxa"/>
            <w:bottom w:w="15" w:type="dxa"/>
            <w:right w:w="108" w:type="dxa"/>
          </w:tblCellMar>
        </w:tblPrEx>
        <w:trPr>
          <w:trHeight w:val="405" w:hRule="atLeast"/>
        </w:trPr>
        <w:tc>
          <w:tcPr>
            <w:tcW w:w="505" w:type="dxa"/>
            <w:vMerge w:val="continue"/>
            <w:tcBorders>
              <w:top w:val="single" w:color="000000" w:sz="12" w:space="0"/>
              <w:left w:val="single" w:color="000000" w:sz="12" w:space="0"/>
              <w:bottom w:val="single" w:color="000000" w:sz="4" w:space="0"/>
              <w:right w:val="single" w:color="000000" w:sz="4" w:space="0"/>
            </w:tcBorders>
            <w:vAlign w:val="center"/>
          </w:tcPr>
          <w:p>
            <w:pPr>
              <w:widowControl/>
              <w:jc w:val="left"/>
              <w:rPr>
                <w:rFonts w:ascii="宋体" w:hAnsi="宋体"/>
                <w:b/>
                <w:bCs/>
                <w:color w:val="000000"/>
                <w:kern w:val="0"/>
                <w:sz w:val="22"/>
                <w:szCs w:val="22"/>
              </w:rPr>
            </w:pPr>
          </w:p>
        </w:tc>
        <w:tc>
          <w:tcPr>
            <w:tcW w:w="2229" w:type="dxa"/>
            <w:vMerge w:val="continue"/>
            <w:tcBorders>
              <w:top w:val="single" w:color="000000" w:sz="12" w:space="0"/>
              <w:left w:val="single" w:color="000000" w:sz="4" w:space="0"/>
              <w:bottom w:val="single" w:color="000000" w:sz="4" w:space="0"/>
              <w:right w:val="single" w:color="000000" w:sz="4" w:space="0"/>
            </w:tcBorders>
            <w:vAlign w:val="center"/>
          </w:tcPr>
          <w:p>
            <w:pPr>
              <w:widowControl/>
              <w:jc w:val="left"/>
              <w:rPr>
                <w:rFonts w:ascii="宋体" w:hAnsi="宋体"/>
                <w:b/>
                <w:bCs/>
                <w:color w:val="000000"/>
                <w:kern w:val="0"/>
                <w:sz w:val="22"/>
                <w:szCs w:val="22"/>
              </w:rPr>
            </w:pPr>
          </w:p>
        </w:tc>
        <w:tc>
          <w:tcPr>
            <w:tcW w:w="535" w:type="dxa"/>
            <w:vMerge w:val="continue"/>
            <w:tcBorders>
              <w:top w:val="single" w:color="000000" w:sz="12" w:space="0"/>
              <w:left w:val="single" w:color="000000" w:sz="4" w:space="0"/>
              <w:bottom w:val="single" w:color="000000" w:sz="4" w:space="0"/>
              <w:right w:val="single" w:color="000000" w:sz="4" w:space="0"/>
            </w:tcBorders>
            <w:vAlign w:val="center"/>
          </w:tcPr>
          <w:p>
            <w:pPr>
              <w:widowControl/>
              <w:jc w:val="left"/>
              <w:rPr>
                <w:rFonts w:ascii="宋体" w:hAnsi="宋体"/>
                <w:b/>
                <w:bCs/>
                <w:color w:val="000000"/>
                <w:kern w:val="0"/>
                <w:sz w:val="22"/>
                <w:szCs w:val="22"/>
              </w:rPr>
            </w:pPr>
          </w:p>
        </w:tc>
        <w:tc>
          <w:tcPr>
            <w:tcW w:w="447" w:type="dxa"/>
            <w:vMerge w:val="continue"/>
            <w:tcBorders>
              <w:top w:val="single" w:color="000000" w:sz="12" w:space="0"/>
              <w:left w:val="single" w:color="000000" w:sz="4" w:space="0"/>
              <w:bottom w:val="single" w:color="000000" w:sz="4" w:space="0"/>
              <w:right w:val="single" w:color="000000" w:sz="4" w:space="0"/>
            </w:tcBorders>
            <w:vAlign w:val="center"/>
          </w:tcPr>
          <w:p>
            <w:pPr>
              <w:widowControl/>
              <w:jc w:val="left"/>
              <w:rPr>
                <w:rFonts w:ascii="宋体" w:hAnsi="宋体"/>
                <w:b/>
                <w:bCs/>
                <w:color w:val="000000"/>
                <w:kern w:val="0"/>
                <w:sz w:val="22"/>
                <w:szCs w:val="22"/>
              </w:rPr>
            </w:pPr>
          </w:p>
        </w:tc>
        <w:tc>
          <w:tcPr>
            <w:tcW w:w="1065" w:type="dxa"/>
            <w:vMerge w:val="continue"/>
            <w:tcBorders>
              <w:top w:val="single" w:color="000000" w:sz="12" w:space="0"/>
              <w:left w:val="single" w:color="000000" w:sz="4" w:space="0"/>
              <w:bottom w:val="single" w:color="000000" w:sz="4" w:space="0"/>
              <w:right w:val="single" w:color="000000" w:sz="4" w:space="0"/>
            </w:tcBorders>
            <w:vAlign w:val="center"/>
          </w:tcPr>
          <w:p>
            <w:pPr>
              <w:widowControl/>
              <w:jc w:val="left"/>
              <w:rPr>
                <w:rFonts w:ascii="宋体" w:hAnsi="宋体"/>
                <w:b/>
                <w:bCs/>
                <w:color w:val="000000"/>
                <w:kern w:val="0"/>
                <w:sz w:val="22"/>
                <w:szCs w:val="22"/>
              </w:rPr>
            </w:pPr>
          </w:p>
        </w:tc>
        <w:tc>
          <w:tcPr>
            <w:tcW w:w="656" w:type="dxa"/>
            <w:vMerge w:val="continue"/>
            <w:tcBorders>
              <w:top w:val="single" w:color="000000" w:sz="12" w:space="0"/>
              <w:left w:val="single" w:color="000000" w:sz="4" w:space="0"/>
              <w:bottom w:val="single" w:color="000000" w:sz="4" w:space="0"/>
            </w:tcBorders>
            <w:vAlign w:val="center"/>
          </w:tcPr>
          <w:p>
            <w:pPr>
              <w:widowControl/>
              <w:jc w:val="left"/>
              <w:rPr>
                <w:rFonts w:ascii="宋体" w:hAnsi="宋体"/>
                <w:b/>
                <w:bCs/>
                <w:color w:val="000000"/>
                <w:kern w:val="0"/>
                <w:sz w:val="22"/>
                <w:szCs w:val="22"/>
              </w:rPr>
            </w:pPr>
          </w:p>
        </w:tc>
        <w:tc>
          <w:tcPr>
            <w:tcW w:w="477" w:type="dxa"/>
            <w:vMerge w:val="restart"/>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b/>
                <w:bCs/>
                <w:color w:val="000000"/>
                <w:kern w:val="0"/>
                <w:sz w:val="22"/>
                <w:szCs w:val="22"/>
              </w:rPr>
            </w:pPr>
            <w:r>
              <w:rPr>
                <w:rFonts w:hint="eastAsia" w:ascii="宋体" w:hAnsi="宋体"/>
                <w:b/>
                <w:bCs/>
                <w:color w:val="000000"/>
                <w:kern w:val="0"/>
                <w:sz w:val="22"/>
                <w:szCs w:val="22"/>
              </w:rPr>
              <w:t>理论</w:t>
            </w:r>
          </w:p>
        </w:tc>
        <w:tc>
          <w:tcPr>
            <w:tcW w:w="550" w:type="dxa"/>
            <w:vMerge w:val="restart"/>
            <w:tcBorders>
              <w:top w:val="single" w:color="000000" w:sz="4"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b/>
                <w:bCs/>
                <w:color w:val="000000"/>
                <w:kern w:val="0"/>
                <w:sz w:val="22"/>
                <w:szCs w:val="22"/>
              </w:rPr>
            </w:pPr>
            <w:r>
              <w:rPr>
                <w:rFonts w:hint="eastAsia" w:ascii="宋体" w:hAnsi="宋体"/>
                <w:b/>
                <w:bCs/>
                <w:color w:val="000000"/>
                <w:kern w:val="0"/>
                <w:sz w:val="22"/>
                <w:szCs w:val="22"/>
              </w:rPr>
              <w:t>实训</w:t>
            </w:r>
          </w:p>
        </w:tc>
        <w:tc>
          <w:tcPr>
            <w:tcW w:w="1305" w:type="dxa"/>
            <w:gridSpan w:val="2"/>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b/>
                <w:bCs/>
                <w:color w:val="000000"/>
                <w:kern w:val="0"/>
                <w:sz w:val="22"/>
                <w:szCs w:val="22"/>
              </w:rPr>
            </w:pPr>
            <w:r>
              <w:rPr>
                <w:rFonts w:hint="eastAsia" w:ascii="宋体" w:hAnsi="宋体"/>
                <w:b/>
                <w:bCs/>
                <w:color w:val="000000"/>
                <w:kern w:val="0"/>
                <w:sz w:val="22"/>
                <w:szCs w:val="22"/>
              </w:rPr>
              <w:t>Ⅰ</w:t>
            </w:r>
          </w:p>
        </w:tc>
        <w:tc>
          <w:tcPr>
            <w:tcW w:w="130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b/>
                <w:bCs/>
                <w:color w:val="000000"/>
                <w:kern w:val="0"/>
                <w:sz w:val="22"/>
                <w:szCs w:val="22"/>
              </w:rPr>
            </w:pPr>
            <w:r>
              <w:rPr>
                <w:rFonts w:hint="eastAsia" w:ascii="宋体" w:hAnsi="宋体"/>
                <w:b/>
                <w:bCs/>
                <w:color w:val="000000"/>
                <w:kern w:val="0"/>
                <w:sz w:val="22"/>
                <w:szCs w:val="22"/>
              </w:rPr>
              <w:t>Ⅱ</w:t>
            </w:r>
          </w:p>
        </w:tc>
        <w:tc>
          <w:tcPr>
            <w:tcW w:w="1246" w:type="dxa"/>
            <w:gridSpan w:val="2"/>
            <w:tcBorders>
              <w:top w:val="single" w:color="000000" w:sz="4"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b/>
                <w:bCs/>
                <w:color w:val="000000"/>
                <w:kern w:val="0"/>
                <w:sz w:val="22"/>
                <w:szCs w:val="22"/>
              </w:rPr>
            </w:pPr>
            <w:r>
              <w:rPr>
                <w:rFonts w:hint="eastAsia" w:ascii="宋体" w:hAnsi="宋体"/>
                <w:b/>
                <w:bCs/>
                <w:color w:val="000000"/>
                <w:kern w:val="0"/>
                <w:sz w:val="22"/>
                <w:szCs w:val="22"/>
              </w:rPr>
              <w:t>Ⅲ</w:t>
            </w:r>
          </w:p>
        </w:tc>
      </w:tr>
      <w:tr>
        <w:tblPrEx>
          <w:tblLayout w:type="fixed"/>
          <w:tblCellMar>
            <w:top w:w="15" w:type="dxa"/>
            <w:left w:w="108" w:type="dxa"/>
            <w:bottom w:w="15" w:type="dxa"/>
            <w:right w:w="108" w:type="dxa"/>
          </w:tblCellMar>
        </w:tblPrEx>
        <w:trPr>
          <w:trHeight w:val="405" w:hRule="atLeast"/>
        </w:trPr>
        <w:tc>
          <w:tcPr>
            <w:tcW w:w="505" w:type="dxa"/>
            <w:vMerge w:val="continue"/>
            <w:tcBorders>
              <w:top w:val="single" w:color="000000" w:sz="12" w:space="0"/>
              <w:left w:val="single" w:color="000000" w:sz="12" w:space="0"/>
              <w:bottom w:val="single" w:color="000000" w:sz="4" w:space="0"/>
              <w:right w:val="single" w:color="000000" w:sz="4" w:space="0"/>
            </w:tcBorders>
            <w:vAlign w:val="center"/>
          </w:tcPr>
          <w:p>
            <w:pPr>
              <w:widowControl/>
              <w:jc w:val="left"/>
              <w:rPr>
                <w:rFonts w:ascii="宋体" w:hAnsi="宋体"/>
                <w:b/>
                <w:bCs/>
                <w:color w:val="000000"/>
                <w:kern w:val="0"/>
                <w:sz w:val="22"/>
                <w:szCs w:val="22"/>
              </w:rPr>
            </w:pPr>
          </w:p>
        </w:tc>
        <w:tc>
          <w:tcPr>
            <w:tcW w:w="2229" w:type="dxa"/>
            <w:vMerge w:val="continue"/>
            <w:tcBorders>
              <w:top w:val="single" w:color="000000" w:sz="12" w:space="0"/>
              <w:left w:val="single" w:color="000000" w:sz="4" w:space="0"/>
              <w:bottom w:val="single" w:color="000000" w:sz="4" w:space="0"/>
              <w:right w:val="single" w:color="000000" w:sz="4" w:space="0"/>
            </w:tcBorders>
            <w:vAlign w:val="center"/>
          </w:tcPr>
          <w:p>
            <w:pPr>
              <w:widowControl/>
              <w:jc w:val="left"/>
              <w:rPr>
                <w:rFonts w:ascii="宋体" w:hAnsi="宋体"/>
                <w:b/>
                <w:bCs/>
                <w:color w:val="000000"/>
                <w:kern w:val="0"/>
                <w:sz w:val="22"/>
                <w:szCs w:val="22"/>
              </w:rPr>
            </w:pPr>
          </w:p>
        </w:tc>
        <w:tc>
          <w:tcPr>
            <w:tcW w:w="535" w:type="dxa"/>
            <w:vMerge w:val="continue"/>
            <w:tcBorders>
              <w:top w:val="single" w:color="000000" w:sz="12" w:space="0"/>
              <w:left w:val="single" w:color="000000" w:sz="4" w:space="0"/>
              <w:bottom w:val="single" w:color="000000" w:sz="4" w:space="0"/>
              <w:right w:val="single" w:color="000000" w:sz="4" w:space="0"/>
            </w:tcBorders>
            <w:vAlign w:val="center"/>
          </w:tcPr>
          <w:p>
            <w:pPr>
              <w:widowControl/>
              <w:jc w:val="left"/>
              <w:rPr>
                <w:rFonts w:ascii="宋体" w:hAnsi="宋体"/>
                <w:b/>
                <w:bCs/>
                <w:color w:val="000000"/>
                <w:kern w:val="0"/>
                <w:sz w:val="22"/>
                <w:szCs w:val="22"/>
              </w:rPr>
            </w:pPr>
          </w:p>
        </w:tc>
        <w:tc>
          <w:tcPr>
            <w:tcW w:w="447" w:type="dxa"/>
            <w:vMerge w:val="continue"/>
            <w:tcBorders>
              <w:top w:val="single" w:color="000000" w:sz="12" w:space="0"/>
              <w:left w:val="single" w:color="000000" w:sz="4" w:space="0"/>
              <w:bottom w:val="single" w:color="000000" w:sz="4" w:space="0"/>
              <w:right w:val="single" w:color="000000" w:sz="4" w:space="0"/>
            </w:tcBorders>
            <w:vAlign w:val="center"/>
          </w:tcPr>
          <w:p>
            <w:pPr>
              <w:widowControl/>
              <w:jc w:val="left"/>
              <w:rPr>
                <w:rFonts w:ascii="宋体" w:hAnsi="宋体"/>
                <w:b/>
                <w:bCs/>
                <w:color w:val="000000"/>
                <w:kern w:val="0"/>
                <w:sz w:val="22"/>
                <w:szCs w:val="22"/>
              </w:rPr>
            </w:pPr>
          </w:p>
        </w:tc>
        <w:tc>
          <w:tcPr>
            <w:tcW w:w="1065" w:type="dxa"/>
            <w:vMerge w:val="continue"/>
            <w:tcBorders>
              <w:top w:val="single" w:color="000000" w:sz="12" w:space="0"/>
              <w:left w:val="single" w:color="000000" w:sz="4" w:space="0"/>
              <w:bottom w:val="single" w:color="000000" w:sz="4" w:space="0"/>
              <w:right w:val="single" w:color="000000" w:sz="4" w:space="0"/>
            </w:tcBorders>
            <w:vAlign w:val="center"/>
          </w:tcPr>
          <w:p>
            <w:pPr>
              <w:widowControl/>
              <w:jc w:val="left"/>
              <w:rPr>
                <w:rFonts w:ascii="宋体" w:hAnsi="宋体"/>
                <w:b/>
                <w:bCs/>
                <w:color w:val="000000"/>
                <w:kern w:val="0"/>
                <w:sz w:val="22"/>
                <w:szCs w:val="22"/>
              </w:rPr>
            </w:pPr>
          </w:p>
        </w:tc>
        <w:tc>
          <w:tcPr>
            <w:tcW w:w="656" w:type="dxa"/>
            <w:vMerge w:val="continue"/>
            <w:tcBorders>
              <w:top w:val="single" w:color="000000" w:sz="12" w:space="0"/>
              <w:left w:val="single" w:color="000000" w:sz="4" w:space="0"/>
              <w:bottom w:val="single" w:color="000000" w:sz="4" w:space="0"/>
            </w:tcBorders>
            <w:vAlign w:val="center"/>
          </w:tcPr>
          <w:p>
            <w:pPr>
              <w:widowControl/>
              <w:jc w:val="left"/>
              <w:rPr>
                <w:rFonts w:ascii="宋体" w:hAnsi="宋体"/>
                <w:b/>
                <w:bCs/>
                <w:color w:val="000000"/>
                <w:kern w:val="0"/>
                <w:sz w:val="22"/>
                <w:szCs w:val="22"/>
              </w:rPr>
            </w:pPr>
          </w:p>
        </w:tc>
        <w:tc>
          <w:tcPr>
            <w:tcW w:w="477" w:type="dxa"/>
            <w:vMerge w:val="continue"/>
            <w:tcBorders>
              <w:top w:val="single" w:color="000000" w:sz="4" w:space="0"/>
              <w:left w:val="single" w:color="000000" w:sz="12" w:space="0"/>
              <w:bottom w:val="single" w:color="000000" w:sz="4" w:space="0"/>
              <w:right w:val="single" w:color="000000" w:sz="4" w:space="0"/>
            </w:tcBorders>
            <w:vAlign w:val="center"/>
          </w:tcPr>
          <w:p>
            <w:pPr>
              <w:widowControl/>
              <w:jc w:val="left"/>
              <w:rPr>
                <w:rFonts w:ascii="宋体" w:hAnsi="宋体"/>
                <w:b/>
                <w:bCs/>
                <w:color w:val="000000"/>
                <w:kern w:val="0"/>
                <w:sz w:val="22"/>
                <w:szCs w:val="22"/>
              </w:rPr>
            </w:pPr>
          </w:p>
        </w:tc>
        <w:tc>
          <w:tcPr>
            <w:tcW w:w="550" w:type="dxa"/>
            <w:vMerge w:val="continue"/>
            <w:tcBorders>
              <w:top w:val="single" w:color="000000" w:sz="4" w:space="0"/>
              <w:left w:val="single" w:color="000000" w:sz="4" w:space="0"/>
              <w:bottom w:val="single" w:color="000000" w:sz="4" w:space="0"/>
              <w:right w:val="single" w:color="000000" w:sz="12" w:space="0"/>
            </w:tcBorders>
            <w:vAlign w:val="center"/>
          </w:tcPr>
          <w:p>
            <w:pPr>
              <w:widowControl/>
              <w:jc w:val="left"/>
              <w:rPr>
                <w:rFonts w:ascii="宋体" w:hAnsi="宋体"/>
                <w:b/>
                <w:bCs/>
                <w:color w:val="000000"/>
                <w:kern w:val="0"/>
                <w:sz w:val="22"/>
                <w:szCs w:val="22"/>
              </w:rPr>
            </w:pPr>
          </w:p>
        </w:tc>
        <w:tc>
          <w:tcPr>
            <w:tcW w:w="652"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b/>
                <w:bCs/>
                <w:color w:val="000000"/>
                <w:kern w:val="0"/>
                <w:sz w:val="22"/>
                <w:szCs w:val="22"/>
              </w:rPr>
            </w:pPr>
            <w:r>
              <w:rPr>
                <w:rFonts w:hint="eastAsia" w:ascii="宋体" w:hAnsi="宋体"/>
                <w:b/>
                <w:bCs/>
                <w:color w:val="000000"/>
                <w:kern w:val="0"/>
                <w:sz w:val="22"/>
                <w:szCs w:val="22"/>
              </w:rPr>
              <w:t>1</w:t>
            </w:r>
          </w:p>
        </w:tc>
        <w:tc>
          <w:tcPr>
            <w:tcW w:w="6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b/>
                <w:bCs/>
                <w:color w:val="000000"/>
                <w:kern w:val="0"/>
                <w:sz w:val="22"/>
                <w:szCs w:val="22"/>
              </w:rPr>
            </w:pPr>
            <w:r>
              <w:rPr>
                <w:rFonts w:hint="eastAsia" w:ascii="宋体" w:hAnsi="宋体"/>
                <w:b/>
                <w:bCs/>
                <w:color w:val="000000"/>
                <w:kern w:val="0"/>
                <w:sz w:val="22"/>
                <w:szCs w:val="22"/>
              </w:rPr>
              <w:t>2</w:t>
            </w:r>
          </w:p>
        </w:tc>
        <w:tc>
          <w:tcPr>
            <w:tcW w:w="6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b/>
                <w:bCs/>
                <w:color w:val="000000"/>
                <w:kern w:val="0"/>
                <w:sz w:val="22"/>
                <w:szCs w:val="22"/>
              </w:rPr>
            </w:pPr>
            <w:r>
              <w:rPr>
                <w:rFonts w:hint="eastAsia" w:ascii="宋体" w:hAnsi="宋体"/>
                <w:b/>
                <w:bCs/>
                <w:color w:val="000000"/>
                <w:kern w:val="0"/>
                <w:sz w:val="22"/>
                <w:szCs w:val="22"/>
              </w:rPr>
              <w:t>3</w:t>
            </w:r>
          </w:p>
        </w:tc>
        <w:tc>
          <w:tcPr>
            <w:tcW w:w="6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b/>
                <w:bCs/>
                <w:color w:val="000000"/>
                <w:kern w:val="0"/>
                <w:sz w:val="22"/>
                <w:szCs w:val="22"/>
              </w:rPr>
            </w:pPr>
            <w:r>
              <w:rPr>
                <w:rFonts w:hint="eastAsia" w:ascii="宋体" w:hAnsi="宋体"/>
                <w:b/>
                <w:bCs/>
                <w:color w:val="000000"/>
                <w:kern w:val="0"/>
                <w:sz w:val="22"/>
                <w:szCs w:val="22"/>
              </w:rPr>
              <w:t>4</w:t>
            </w:r>
          </w:p>
        </w:tc>
        <w:tc>
          <w:tcPr>
            <w:tcW w:w="6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b/>
                <w:bCs/>
                <w:color w:val="000000"/>
                <w:kern w:val="0"/>
                <w:sz w:val="22"/>
                <w:szCs w:val="22"/>
              </w:rPr>
            </w:pPr>
            <w:r>
              <w:rPr>
                <w:rFonts w:hint="eastAsia" w:ascii="宋体" w:hAnsi="宋体"/>
                <w:b/>
                <w:bCs/>
                <w:color w:val="000000"/>
                <w:kern w:val="0"/>
                <w:sz w:val="22"/>
                <w:szCs w:val="22"/>
              </w:rPr>
              <w:t>5</w:t>
            </w:r>
          </w:p>
        </w:tc>
        <w:tc>
          <w:tcPr>
            <w:tcW w:w="638" w:type="dxa"/>
            <w:tcBorders>
              <w:top w:val="single" w:color="000000" w:sz="4"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b/>
                <w:bCs/>
                <w:color w:val="000000"/>
                <w:kern w:val="0"/>
                <w:sz w:val="22"/>
                <w:szCs w:val="22"/>
              </w:rPr>
            </w:pPr>
            <w:r>
              <w:rPr>
                <w:rFonts w:hint="eastAsia" w:ascii="宋体" w:hAnsi="宋体"/>
                <w:b/>
                <w:bCs/>
                <w:color w:val="000000"/>
                <w:kern w:val="0"/>
                <w:sz w:val="22"/>
                <w:szCs w:val="22"/>
              </w:rPr>
              <w:t>6</w:t>
            </w:r>
          </w:p>
        </w:tc>
      </w:tr>
      <w:tr>
        <w:tblPrEx>
          <w:tblLayout w:type="fixed"/>
          <w:tblCellMar>
            <w:top w:w="15" w:type="dxa"/>
            <w:left w:w="108" w:type="dxa"/>
            <w:bottom w:w="15" w:type="dxa"/>
            <w:right w:w="108" w:type="dxa"/>
          </w:tblCellMar>
        </w:tblPrEx>
        <w:trPr>
          <w:trHeight w:val="226" w:hRule="atLeast"/>
        </w:trPr>
        <w:tc>
          <w:tcPr>
            <w:tcW w:w="505" w:type="dxa"/>
            <w:vMerge w:val="continue"/>
            <w:tcBorders>
              <w:top w:val="single" w:color="000000" w:sz="12" w:space="0"/>
              <w:left w:val="single" w:color="000000" w:sz="12" w:space="0"/>
              <w:bottom w:val="single" w:color="000000" w:sz="4" w:space="0"/>
              <w:right w:val="single" w:color="000000" w:sz="4" w:space="0"/>
            </w:tcBorders>
            <w:vAlign w:val="center"/>
          </w:tcPr>
          <w:p>
            <w:pPr>
              <w:widowControl/>
              <w:jc w:val="left"/>
              <w:rPr>
                <w:rFonts w:ascii="宋体" w:hAnsi="宋体"/>
                <w:b/>
                <w:bCs/>
                <w:color w:val="000000"/>
                <w:kern w:val="0"/>
                <w:sz w:val="22"/>
                <w:szCs w:val="22"/>
              </w:rPr>
            </w:pPr>
          </w:p>
        </w:tc>
        <w:tc>
          <w:tcPr>
            <w:tcW w:w="2229" w:type="dxa"/>
            <w:vMerge w:val="continue"/>
            <w:tcBorders>
              <w:top w:val="single" w:color="000000" w:sz="12" w:space="0"/>
              <w:left w:val="single" w:color="000000" w:sz="4" w:space="0"/>
              <w:bottom w:val="single" w:color="000000" w:sz="4" w:space="0"/>
              <w:right w:val="single" w:color="000000" w:sz="4" w:space="0"/>
            </w:tcBorders>
            <w:vAlign w:val="center"/>
          </w:tcPr>
          <w:p>
            <w:pPr>
              <w:widowControl/>
              <w:jc w:val="left"/>
              <w:rPr>
                <w:rFonts w:ascii="宋体" w:hAnsi="宋体"/>
                <w:b/>
                <w:bCs/>
                <w:color w:val="000000"/>
                <w:kern w:val="0"/>
                <w:sz w:val="22"/>
                <w:szCs w:val="22"/>
              </w:rPr>
            </w:pPr>
          </w:p>
        </w:tc>
        <w:tc>
          <w:tcPr>
            <w:tcW w:w="535" w:type="dxa"/>
            <w:vMerge w:val="continue"/>
            <w:tcBorders>
              <w:top w:val="single" w:color="000000" w:sz="12" w:space="0"/>
              <w:left w:val="single" w:color="000000" w:sz="4" w:space="0"/>
              <w:bottom w:val="single" w:color="000000" w:sz="4" w:space="0"/>
              <w:right w:val="single" w:color="000000" w:sz="4" w:space="0"/>
            </w:tcBorders>
            <w:vAlign w:val="center"/>
          </w:tcPr>
          <w:p>
            <w:pPr>
              <w:widowControl/>
              <w:jc w:val="left"/>
              <w:rPr>
                <w:rFonts w:ascii="宋体" w:hAnsi="宋体"/>
                <w:b/>
                <w:bCs/>
                <w:color w:val="000000"/>
                <w:kern w:val="0"/>
                <w:sz w:val="22"/>
                <w:szCs w:val="22"/>
              </w:rPr>
            </w:pPr>
          </w:p>
        </w:tc>
        <w:tc>
          <w:tcPr>
            <w:tcW w:w="447" w:type="dxa"/>
            <w:vMerge w:val="continue"/>
            <w:tcBorders>
              <w:top w:val="single" w:color="000000" w:sz="12" w:space="0"/>
              <w:left w:val="single" w:color="000000" w:sz="4" w:space="0"/>
              <w:bottom w:val="single" w:color="000000" w:sz="4" w:space="0"/>
              <w:right w:val="single" w:color="000000" w:sz="4" w:space="0"/>
            </w:tcBorders>
            <w:vAlign w:val="center"/>
          </w:tcPr>
          <w:p>
            <w:pPr>
              <w:widowControl/>
              <w:jc w:val="left"/>
              <w:rPr>
                <w:rFonts w:ascii="宋体" w:hAnsi="宋体"/>
                <w:b/>
                <w:bCs/>
                <w:color w:val="000000"/>
                <w:kern w:val="0"/>
                <w:sz w:val="22"/>
                <w:szCs w:val="22"/>
              </w:rPr>
            </w:pPr>
          </w:p>
        </w:tc>
        <w:tc>
          <w:tcPr>
            <w:tcW w:w="1065" w:type="dxa"/>
            <w:vMerge w:val="continue"/>
            <w:tcBorders>
              <w:top w:val="single" w:color="000000" w:sz="12" w:space="0"/>
              <w:left w:val="single" w:color="000000" w:sz="4" w:space="0"/>
              <w:bottom w:val="single" w:color="000000" w:sz="4" w:space="0"/>
              <w:right w:val="single" w:color="000000" w:sz="4" w:space="0"/>
            </w:tcBorders>
            <w:vAlign w:val="center"/>
          </w:tcPr>
          <w:p>
            <w:pPr>
              <w:widowControl/>
              <w:jc w:val="left"/>
              <w:rPr>
                <w:rFonts w:ascii="宋体" w:hAnsi="宋体"/>
                <w:b/>
                <w:bCs/>
                <w:color w:val="000000"/>
                <w:kern w:val="0"/>
                <w:sz w:val="22"/>
                <w:szCs w:val="22"/>
              </w:rPr>
            </w:pPr>
          </w:p>
        </w:tc>
        <w:tc>
          <w:tcPr>
            <w:tcW w:w="656" w:type="dxa"/>
            <w:vMerge w:val="continue"/>
            <w:tcBorders>
              <w:top w:val="single" w:color="000000" w:sz="12" w:space="0"/>
              <w:left w:val="single" w:color="000000" w:sz="4" w:space="0"/>
              <w:bottom w:val="single" w:color="000000" w:sz="4" w:space="0"/>
            </w:tcBorders>
            <w:vAlign w:val="center"/>
          </w:tcPr>
          <w:p>
            <w:pPr>
              <w:widowControl/>
              <w:jc w:val="left"/>
              <w:rPr>
                <w:rFonts w:ascii="宋体" w:hAnsi="宋体"/>
                <w:b/>
                <w:bCs/>
                <w:color w:val="000000"/>
                <w:kern w:val="0"/>
                <w:sz w:val="22"/>
                <w:szCs w:val="22"/>
              </w:rPr>
            </w:pPr>
          </w:p>
        </w:tc>
        <w:tc>
          <w:tcPr>
            <w:tcW w:w="477" w:type="dxa"/>
            <w:vMerge w:val="continue"/>
            <w:tcBorders>
              <w:top w:val="single" w:color="000000" w:sz="4" w:space="0"/>
              <w:left w:val="single" w:color="000000" w:sz="12" w:space="0"/>
              <w:bottom w:val="single" w:color="000000" w:sz="4" w:space="0"/>
              <w:right w:val="single" w:color="000000" w:sz="4" w:space="0"/>
            </w:tcBorders>
            <w:vAlign w:val="center"/>
          </w:tcPr>
          <w:p>
            <w:pPr>
              <w:widowControl/>
              <w:jc w:val="left"/>
              <w:rPr>
                <w:rFonts w:ascii="宋体" w:hAnsi="宋体"/>
                <w:b/>
                <w:bCs/>
                <w:color w:val="000000"/>
                <w:kern w:val="0"/>
                <w:sz w:val="22"/>
                <w:szCs w:val="22"/>
              </w:rPr>
            </w:pPr>
          </w:p>
        </w:tc>
        <w:tc>
          <w:tcPr>
            <w:tcW w:w="550" w:type="dxa"/>
            <w:vMerge w:val="continue"/>
            <w:tcBorders>
              <w:top w:val="single" w:color="000000" w:sz="4" w:space="0"/>
              <w:left w:val="single" w:color="000000" w:sz="4" w:space="0"/>
              <w:bottom w:val="single" w:color="000000" w:sz="4" w:space="0"/>
              <w:right w:val="single" w:color="000000" w:sz="12" w:space="0"/>
            </w:tcBorders>
            <w:vAlign w:val="center"/>
          </w:tcPr>
          <w:p>
            <w:pPr>
              <w:widowControl/>
              <w:jc w:val="left"/>
              <w:rPr>
                <w:rFonts w:ascii="宋体" w:hAnsi="宋体"/>
                <w:b/>
                <w:bCs/>
                <w:color w:val="000000"/>
                <w:kern w:val="0"/>
                <w:sz w:val="22"/>
                <w:szCs w:val="22"/>
              </w:rPr>
            </w:pPr>
          </w:p>
        </w:tc>
        <w:tc>
          <w:tcPr>
            <w:tcW w:w="652" w:type="dxa"/>
            <w:tcBorders>
              <w:top w:val="single" w:color="000000" w:sz="4" w:space="0"/>
              <w:left w:val="single" w:color="000000" w:sz="12" w:space="0"/>
              <w:right w:val="single" w:color="000000" w:sz="4" w:space="0"/>
            </w:tcBorders>
            <w:shd w:val="clear" w:color="auto" w:fill="FFFFFF"/>
            <w:vAlign w:val="center"/>
          </w:tcPr>
          <w:p>
            <w:pPr>
              <w:widowControl/>
              <w:jc w:val="center"/>
              <w:rPr>
                <w:rFonts w:ascii="宋体" w:hAnsi="宋体"/>
                <w:b/>
                <w:bCs/>
                <w:color w:val="000000"/>
                <w:kern w:val="0"/>
                <w:sz w:val="22"/>
                <w:szCs w:val="22"/>
              </w:rPr>
            </w:pPr>
            <w:r>
              <w:rPr>
                <w:rFonts w:hint="eastAsia" w:ascii="宋体" w:hAnsi="宋体"/>
                <w:b/>
                <w:bCs/>
                <w:color w:val="000000"/>
                <w:kern w:val="0"/>
                <w:sz w:val="22"/>
                <w:szCs w:val="22"/>
              </w:rPr>
              <w:t>18</w:t>
            </w:r>
          </w:p>
        </w:tc>
        <w:tc>
          <w:tcPr>
            <w:tcW w:w="653"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b/>
                <w:bCs/>
                <w:color w:val="000000"/>
                <w:kern w:val="0"/>
                <w:sz w:val="22"/>
                <w:szCs w:val="22"/>
              </w:rPr>
            </w:pPr>
            <w:r>
              <w:rPr>
                <w:rFonts w:hint="eastAsia" w:ascii="宋体" w:hAnsi="宋体"/>
                <w:b/>
                <w:bCs/>
                <w:color w:val="000000"/>
                <w:kern w:val="0"/>
                <w:sz w:val="22"/>
                <w:szCs w:val="22"/>
              </w:rPr>
              <w:t>18</w:t>
            </w:r>
          </w:p>
        </w:tc>
        <w:tc>
          <w:tcPr>
            <w:tcW w:w="652"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b/>
                <w:bCs/>
                <w:color w:val="000000"/>
                <w:kern w:val="0"/>
                <w:sz w:val="22"/>
                <w:szCs w:val="22"/>
              </w:rPr>
            </w:pPr>
            <w:r>
              <w:rPr>
                <w:rFonts w:hint="eastAsia" w:ascii="宋体" w:hAnsi="宋体"/>
                <w:b/>
                <w:bCs/>
                <w:color w:val="000000"/>
                <w:kern w:val="0"/>
                <w:sz w:val="22"/>
                <w:szCs w:val="22"/>
              </w:rPr>
              <w:t>18</w:t>
            </w:r>
          </w:p>
        </w:tc>
        <w:tc>
          <w:tcPr>
            <w:tcW w:w="653"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b/>
                <w:bCs/>
                <w:color w:val="000000"/>
                <w:kern w:val="0"/>
                <w:sz w:val="22"/>
                <w:szCs w:val="22"/>
              </w:rPr>
            </w:pPr>
            <w:r>
              <w:rPr>
                <w:rFonts w:hint="eastAsia" w:ascii="宋体" w:hAnsi="宋体"/>
                <w:b/>
                <w:bCs/>
                <w:color w:val="000000"/>
                <w:kern w:val="0"/>
                <w:sz w:val="22"/>
                <w:szCs w:val="22"/>
              </w:rPr>
              <w:t>18</w:t>
            </w:r>
          </w:p>
        </w:tc>
        <w:tc>
          <w:tcPr>
            <w:tcW w:w="608"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b/>
                <w:bCs/>
                <w:color w:val="000000"/>
                <w:kern w:val="0"/>
                <w:sz w:val="22"/>
                <w:szCs w:val="22"/>
              </w:rPr>
            </w:pPr>
            <w:r>
              <w:rPr>
                <w:rFonts w:hint="eastAsia" w:ascii="宋体" w:hAnsi="宋体"/>
                <w:b/>
                <w:bCs/>
                <w:color w:val="000000"/>
                <w:kern w:val="0"/>
                <w:sz w:val="22"/>
                <w:szCs w:val="22"/>
              </w:rPr>
              <w:t>18</w:t>
            </w:r>
          </w:p>
        </w:tc>
        <w:tc>
          <w:tcPr>
            <w:tcW w:w="638" w:type="dxa"/>
            <w:tcBorders>
              <w:top w:val="single" w:color="000000" w:sz="4" w:space="0"/>
              <w:left w:val="single" w:color="000000" w:sz="4" w:space="0"/>
              <w:right w:val="single" w:color="000000" w:sz="12" w:space="0"/>
            </w:tcBorders>
            <w:shd w:val="clear" w:color="auto" w:fill="FFFFFF"/>
            <w:vAlign w:val="center"/>
          </w:tcPr>
          <w:p>
            <w:pPr>
              <w:widowControl/>
              <w:jc w:val="center"/>
              <w:rPr>
                <w:rFonts w:ascii="宋体" w:hAnsi="宋体"/>
                <w:b/>
                <w:bCs/>
                <w:color w:val="000000"/>
                <w:kern w:val="0"/>
                <w:sz w:val="22"/>
                <w:szCs w:val="22"/>
              </w:rPr>
            </w:pPr>
            <w:r>
              <w:rPr>
                <w:rFonts w:hint="eastAsia" w:ascii="宋体" w:hAnsi="宋体"/>
                <w:b/>
                <w:bCs/>
                <w:color w:val="000000"/>
                <w:kern w:val="0"/>
                <w:sz w:val="22"/>
                <w:szCs w:val="22"/>
              </w:rPr>
              <w:t>18</w:t>
            </w:r>
          </w:p>
        </w:tc>
      </w:tr>
      <w:tr>
        <w:tblPrEx>
          <w:tblLayout w:type="fixed"/>
          <w:tblCellMar>
            <w:top w:w="15" w:type="dxa"/>
            <w:left w:w="108" w:type="dxa"/>
            <w:bottom w:w="15" w:type="dxa"/>
            <w:right w:w="108" w:type="dxa"/>
          </w:tblCellMar>
        </w:tblPrEx>
        <w:trPr>
          <w:trHeight w:val="405" w:hRule="atLeast"/>
        </w:trPr>
        <w:tc>
          <w:tcPr>
            <w:tcW w:w="505" w:type="dxa"/>
            <w:vMerge w:val="restart"/>
            <w:tcBorders>
              <w:top w:val="single" w:color="000000" w:sz="4" w:space="0"/>
              <w:left w:val="single" w:color="000000" w:sz="12" w:space="0"/>
              <w:bottom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公共基础课</w:t>
            </w:r>
          </w:p>
        </w:tc>
        <w:tc>
          <w:tcPr>
            <w:tcW w:w="22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职业道德与法律</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查</w:t>
            </w:r>
          </w:p>
        </w:tc>
        <w:tc>
          <w:tcPr>
            <w:tcW w:w="4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理</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656" w:type="dxa"/>
            <w:tcBorders>
              <w:top w:val="single" w:color="000000" w:sz="4" w:space="0"/>
              <w:left w:val="single" w:color="000000" w:sz="4" w:space="0"/>
              <w:bottom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36</w:t>
            </w:r>
          </w:p>
        </w:tc>
        <w:tc>
          <w:tcPr>
            <w:tcW w:w="477"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550" w:type="dxa"/>
            <w:tcBorders>
              <w:top w:val="single" w:color="000000" w:sz="4"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c>
          <w:tcPr>
            <w:tcW w:w="652"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6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38" w:type="dxa"/>
            <w:tcBorders>
              <w:top w:val="single" w:color="000000" w:sz="4"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r>
      <w:tr>
        <w:tblPrEx>
          <w:tblLayout w:type="fixed"/>
          <w:tblCellMar>
            <w:top w:w="15" w:type="dxa"/>
            <w:left w:w="108" w:type="dxa"/>
            <w:bottom w:w="15" w:type="dxa"/>
            <w:right w:w="108" w:type="dxa"/>
          </w:tblCellMar>
        </w:tblPrEx>
        <w:trPr>
          <w:trHeight w:val="405" w:hRule="atLeast"/>
        </w:trPr>
        <w:tc>
          <w:tcPr>
            <w:tcW w:w="505" w:type="dxa"/>
            <w:vMerge w:val="continue"/>
            <w:tcBorders>
              <w:top w:val="single" w:color="000000" w:sz="4" w:space="0"/>
              <w:left w:val="single" w:color="000000" w:sz="12" w:space="0"/>
              <w:bottom w:val="single" w:color="000000" w:sz="12" w:space="0"/>
              <w:right w:val="single" w:color="000000" w:sz="4" w:space="0"/>
            </w:tcBorders>
            <w:vAlign w:val="center"/>
          </w:tcPr>
          <w:p>
            <w:pPr>
              <w:widowControl/>
              <w:jc w:val="left"/>
              <w:rPr>
                <w:rFonts w:ascii="宋体" w:hAnsi="宋体"/>
                <w:color w:val="000000"/>
                <w:kern w:val="0"/>
                <w:sz w:val="22"/>
                <w:szCs w:val="22"/>
              </w:rPr>
            </w:pPr>
          </w:p>
        </w:tc>
        <w:tc>
          <w:tcPr>
            <w:tcW w:w="22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经济政治与社会</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查</w:t>
            </w:r>
          </w:p>
        </w:tc>
        <w:tc>
          <w:tcPr>
            <w:tcW w:w="4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理</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656" w:type="dxa"/>
            <w:tcBorders>
              <w:top w:val="single" w:color="000000" w:sz="4" w:space="0"/>
              <w:left w:val="single" w:color="000000" w:sz="4" w:space="0"/>
              <w:bottom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36</w:t>
            </w:r>
          </w:p>
        </w:tc>
        <w:tc>
          <w:tcPr>
            <w:tcW w:w="477"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550" w:type="dxa"/>
            <w:tcBorders>
              <w:top w:val="single" w:color="000000" w:sz="4"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c>
          <w:tcPr>
            <w:tcW w:w="652"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652" w:type="dxa"/>
            <w:vAlign w:val="center"/>
          </w:tcPr>
          <w:p>
            <w:pPr>
              <w:widowControl/>
              <w:jc w:val="left"/>
              <w:rPr>
                <w:rFonts w:ascii="宋体" w:hAnsi="宋体"/>
                <w:color w:val="000000"/>
                <w:kern w:val="0"/>
                <w:sz w:val="22"/>
                <w:szCs w:val="22"/>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38" w:type="dxa"/>
            <w:tcBorders>
              <w:top w:val="single" w:color="000000" w:sz="4"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r>
      <w:tr>
        <w:tblPrEx>
          <w:tblLayout w:type="fixed"/>
          <w:tblCellMar>
            <w:top w:w="15" w:type="dxa"/>
            <w:left w:w="108" w:type="dxa"/>
            <w:bottom w:w="15" w:type="dxa"/>
            <w:right w:w="108" w:type="dxa"/>
          </w:tblCellMar>
        </w:tblPrEx>
        <w:trPr>
          <w:trHeight w:val="405" w:hRule="atLeast"/>
        </w:trPr>
        <w:tc>
          <w:tcPr>
            <w:tcW w:w="505" w:type="dxa"/>
            <w:vMerge w:val="continue"/>
            <w:tcBorders>
              <w:top w:val="single" w:color="000000" w:sz="4" w:space="0"/>
              <w:left w:val="single" w:color="000000" w:sz="12" w:space="0"/>
              <w:bottom w:val="single" w:color="000000" w:sz="12" w:space="0"/>
              <w:right w:val="single" w:color="000000" w:sz="4" w:space="0"/>
            </w:tcBorders>
            <w:vAlign w:val="center"/>
          </w:tcPr>
          <w:p>
            <w:pPr>
              <w:widowControl/>
              <w:jc w:val="left"/>
              <w:rPr>
                <w:rFonts w:ascii="宋体" w:hAnsi="宋体"/>
                <w:color w:val="000000"/>
                <w:kern w:val="0"/>
                <w:sz w:val="22"/>
                <w:szCs w:val="22"/>
              </w:rPr>
            </w:pPr>
          </w:p>
        </w:tc>
        <w:tc>
          <w:tcPr>
            <w:tcW w:w="2229"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哲学与人生</w:t>
            </w:r>
          </w:p>
        </w:tc>
        <w:tc>
          <w:tcPr>
            <w:tcW w:w="535"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查</w:t>
            </w:r>
          </w:p>
        </w:tc>
        <w:tc>
          <w:tcPr>
            <w:tcW w:w="447"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理</w:t>
            </w:r>
          </w:p>
        </w:tc>
        <w:tc>
          <w:tcPr>
            <w:tcW w:w="1065"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656" w:type="dxa"/>
            <w:tcBorders>
              <w:top w:val="single" w:color="000000" w:sz="4" w:space="0"/>
              <w:lef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36</w:t>
            </w:r>
          </w:p>
        </w:tc>
        <w:tc>
          <w:tcPr>
            <w:tcW w:w="477" w:type="dxa"/>
            <w:tcBorders>
              <w:top w:val="single" w:color="000000" w:sz="4" w:space="0"/>
              <w:left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550" w:type="dxa"/>
            <w:tcBorders>
              <w:top w:val="single" w:color="000000" w:sz="4" w:space="0"/>
              <w:left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c>
          <w:tcPr>
            <w:tcW w:w="652" w:type="dxa"/>
            <w:tcBorders>
              <w:top w:val="single" w:color="000000" w:sz="4" w:space="0"/>
              <w:left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2"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653" w:type="dxa"/>
            <w:vAlign w:val="center"/>
          </w:tcPr>
          <w:p>
            <w:pPr>
              <w:widowControl/>
              <w:jc w:val="left"/>
              <w:rPr>
                <w:rFonts w:ascii="宋体" w:hAnsi="宋体"/>
                <w:color w:val="000000"/>
                <w:kern w:val="0"/>
                <w:sz w:val="22"/>
                <w:szCs w:val="22"/>
              </w:rPr>
            </w:pPr>
          </w:p>
        </w:tc>
        <w:tc>
          <w:tcPr>
            <w:tcW w:w="6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38" w:type="dxa"/>
            <w:tcBorders>
              <w:top w:val="single" w:color="000000" w:sz="4"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r>
      <w:tr>
        <w:tblPrEx>
          <w:tblLayout w:type="fixed"/>
          <w:tblCellMar>
            <w:top w:w="15" w:type="dxa"/>
            <w:left w:w="108" w:type="dxa"/>
            <w:bottom w:w="15" w:type="dxa"/>
            <w:right w:w="108" w:type="dxa"/>
          </w:tblCellMar>
        </w:tblPrEx>
        <w:trPr>
          <w:trHeight w:val="405" w:hRule="atLeast"/>
        </w:trPr>
        <w:tc>
          <w:tcPr>
            <w:tcW w:w="505" w:type="dxa"/>
            <w:vMerge w:val="continue"/>
            <w:tcBorders>
              <w:top w:val="single" w:color="000000" w:sz="4" w:space="0"/>
              <w:left w:val="single" w:color="000000" w:sz="12" w:space="0"/>
              <w:bottom w:val="single" w:color="000000" w:sz="12" w:space="0"/>
              <w:right w:val="single" w:color="000000" w:sz="4" w:space="0"/>
            </w:tcBorders>
            <w:vAlign w:val="center"/>
          </w:tcPr>
          <w:p>
            <w:pPr>
              <w:widowControl/>
              <w:jc w:val="left"/>
              <w:rPr>
                <w:rFonts w:ascii="宋体" w:hAnsi="宋体"/>
                <w:color w:val="000000"/>
                <w:kern w:val="0"/>
                <w:sz w:val="22"/>
                <w:szCs w:val="22"/>
              </w:rPr>
            </w:pPr>
          </w:p>
        </w:tc>
        <w:tc>
          <w:tcPr>
            <w:tcW w:w="22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职业生涯规划</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查</w:t>
            </w:r>
          </w:p>
        </w:tc>
        <w:tc>
          <w:tcPr>
            <w:tcW w:w="4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理</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656" w:type="dxa"/>
            <w:tcBorders>
              <w:top w:val="single" w:color="000000" w:sz="4" w:space="0"/>
              <w:left w:val="single" w:color="000000" w:sz="4" w:space="0"/>
              <w:bottom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36</w:t>
            </w:r>
          </w:p>
        </w:tc>
        <w:tc>
          <w:tcPr>
            <w:tcW w:w="477"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550" w:type="dxa"/>
            <w:tcBorders>
              <w:top w:val="single" w:color="000000" w:sz="4"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c>
          <w:tcPr>
            <w:tcW w:w="652"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6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38" w:type="dxa"/>
            <w:tcBorders>
              <w:top w:val="single" w:color="000000" w:sz="4"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r>
      <w:tr>
        <w:tblPrEx>
          <w:tblLayout w:type="fixed"/>
          <w:tblCellMar>
            <w:top w:w="15" w:type="dxa"/>
            <w:left w:w="108" w:type="dxa"/>
            <w:bottom w:w="15" w:type="dxa"/>
            <w:right w:w="108" w:type="dxa"/>
          </w:tblCellMar>
        </w:tblPrEx>
        <w:trPr>
          <w:trHeight w:val="405" w:hRule="atLeast"/>
        </w:trPr>
        <w:tc>
          <w:tcPr>
            <w:tcW w:w="505" w:type="dxa"/>
            <w:vMerge w:val="continue"/>
            <w:tcBorders>
              <w:top w:val="single" w:color="000000" w:sz="4" w:space="0"/>
              <w:left w:val="single" w:color="000000" w:sz="12" w:space="0"/>
              <w:bottom w:val="single" w:color="000000" w:sz="12" w:space="0"/>
              <w:right w:val="single" w:color="000000" w:sz="4" w:space="0"/>
            </w:tcBorders>
            <w:vAlign w:val="center"/>
          </w:tcPr>
          <w:p>
            <w:pPr>
              <w:widowControl/>
              <w:jc w:val="left"/>
              <w:rPr>
                <w:rFonts w:ascii="宋体" w:hAnsi="宋体"/>
                <w:color w:val="000000"/>
                <w:kern w:val="0"/>
                <w:sz w:val="22"/>
                <w:szCs w:val="22"/>
              </w:rPr>
            </w:pPr>
          </w:p>
        </w:tc>
        <w:tc>
          <w:tcPr>
            <w:tcW w:w="22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心理健康教育</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查</w:t>
            </w:r>
          </w:p>
        </w:tc>
        <w:tc>
          <w:tcPr>
            <w:tcW w:w="4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理</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656" w:type="dxa"/>
            <w:tcBorders>
              <w:top w:val="single" w:color="000000" w:sz="4" w:space="0"/>
              <w:left w:val="single" w:color="000000" w:sz="4" w:space="0"/>
              <w:bottom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36</w:t>
            </w:r>
          </w:p>
        </w:tc>
        <w:tc>
          <w:tcPr>
            <w:tcW w:w="477"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550" w:type="dxa"/>
            <w:tcBorders>
              <w:top w:val="single" w:color="000000" w:sz="4"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c>
          <w:tcPr>
            <w:tcW w:w="652"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638" w:type="dxa"/>
            <w:tcBorders>
              <w:top w:val="single" w:color="000000" w:sz="4"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r>
      <w:tr>
        <w:tblPrEx>
          <w:tblLayout w:type="fixed"/>
          <w:tblCellMar>
            <w:top w:w="15" w:type="dxa"/>
            <w:left w:w="108" w:type="dxa"/>
            <w:bottom w:w="15" w:type="dxa"/>
            <w:right w:w="108" w:type="dxa"/>
          </w:tblCellMar>
        </w:tblPrEx>
        <w:trPr>
          <w:trHeight w:val="405" w:hRule="atLeast"/>
        </w:trPr>
        <w:tc>
          <w:tcPr>
            <w:tcW w:w="505" w:type="dxa"/>
            <w:vMerge w:val="continue"/>
            <w:tcBorders>
              <w:top w:val="single" w:color="000000" w:sz="4" w:space="0"/>
              <w:left w:val="single" w:color="000000" w:sz="12" w:space="0"/>
              <w:bottom w:val="single" w:color="000000" w:sz="12" w:space="0"/>
              <w:right w:val="single" w:color="000000" w:sz="4" w:space="0"/>
            </w:tcBorders>
            <w:vAlign w:val="center"/>
          </w:tcPr>
          <w:p>
            <w:pPr>
              <w:widowControl/>
              <w:jc w:val="left"/>
              <w:rPr>
                <w:rFonts w:ascii="宋体" w:hAnsi="宋体"/>
                <w:color w:val="000000"/>
                <w:kern w:val="0"/>
                <w:sz w:val="22"/>
                <w:szCs w:val="22"/>
              </w:rPr>
            </w:pPr>
          </w:p>
        </w:tc>
        <w:tc>
          <w:tcPr>
            <w:tcW w:w="22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计算机应用基础</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试</w:t>
            </w:r>
          </w:p>
        </w:tc>
        <w:tc>
          <w:tcPr>
            <w:tcW w:w="4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实</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56" w:type="dxa"/>
            <w:tcBorders>
              <w:top w:val="single" w:color="000000" w:sz="4" w:space="0"/>
              <w:left w:val="single" w:color="000000" w:sz="4" w:space="0"/>
              <w:bottom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72</w:t>
            </w:r>
          </w:p>
        </w:tc>
        <w:tc>
          <w:tcPr>
            <w:tcW w:w="477"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550" w:type="dxa"/>
            <w:tcBorders>
              <w:top w:val="single" w:color="000000" w:sz="4"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52"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38" w:type="dxa"/>
            <w:tcBorders>
              <w:top w:val="single" w:color="000000" w:sz="4"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r>
      <w:tr>
        <w:tblPrEx>
          <w:tblLayout w:type="fixed"/>
          <w:tblCellMar>
            <w:top w:w="15" w:type="dxa"/>
            <w:left w:w="108" w:type="dxa"/>
            <w:bottom w:w="15" w:type="dxa"/>
            <w:right w:w="108" w:type="dxa"/>
          </w:tblCellMar>
        </w:tblPrEx>
        <w:trPr>
          <w:trHeight w:val="405" w:hRule="atLeast"/>
        </w:trPr>
        <w:tc>
          <w:tcPr>
            <w:tcW w:w="505" w:type="dxa"/>
            <w:vMerge w:val="continue"/>
            <w:tcBorders>
              <w:top w:val="single" w:color="000000" w:sz="4" w:space="0"/>
              <w:left w:val="single" w:color="000000" w:sz="12" w:space="0"/>
              <w:bottom w:val="single" w:color="000000" w:sz="12" w:space="0"/>
              <w:right w:val="single" w:color="000000" w:sz="4" w:space="0"/>
            </w:tcBorders>
            <w:vAlign w:val="center"/>
          </w:tcPr>
          <w:p>
            <w:pPr>
              <w:widowControl/>
              <w:jc w:val="left"/>
              <w:rPr>
                <w:rFonts w:ascii="宋体" w:hAnsi="宋体"/>
                <w:color w:val="000000"/>
                <w:kern w:val="0"/>
                <w:sz w:val="22"/>
                <w:szCs w:val="22"/>
              </w:rPr>
            </w:pPr>
          </w:p>
        </w:tc>
        <w:tc>
          <w:tcPr>
            <w:tcW w:w="22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体育与健康</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查</w:t>
            </w:r>
          </w:p>
        </w:tc>
        <w:tc>
          <w:tcPr>
            <w:tcW w:w="4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实</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10</w:t>
            </w:r>
          </w:p>
        </w:tc>
        <w:tc>
          <w:tcPr>
            <w:tcW w:w="656" w:type="dxa"/>
            <w:tcBorders>
              <w:top w:val="single" w:color="000000" w:sz="4" w:space="0"/>
              <w:left w:val="single" w:color="000000" w:sz="4" w:space="0"/>
              <w:bottom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180</w:t>
            </w:r>
          </w:p>
        </w:tc>
        <w:tc>
          <w:tcPr>
            <w:tcW w:w="477"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550" w:type="dxa"/>
            <w:tcBorders>
              <w:top w:val="single" w:color="000000" w:sz="4"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10</w:t>
            </w:r>
          </w:p>
        </w:tc>
        <w:tc>
          <w:tcPr>
            <w:tcW w:w="652"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6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6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6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6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638" w:type="dxa"/>
            <w:tcBorders>
              <w:top w:val="single" w:color="000000" w:sz="4"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r>
      <w:tr>
        <w:tblPrEx>
          <w:tblLayout w:type="fixed"/>
          <w:tblCellMar>
            <w:top w:w="15" w:type="dxa"/>
            <w:left w:w="108" w:type="dxa"/>
            <w:bottom w:w="15" w:type="dxa"/>
            <w:right w:w="108" w:type="dxa"/>
          </w:tblCellMar>
        </w:tblPrEx>
        <w:trPr>
          <w:trHeight w:val="405" w:hRule="atLeast"/>
        </w:trPr>
        <w:tc>
          <w:tcPr>
            <w:tcW w:w="505" w:type="dxa"/>
            <w:vMerge w:val="continue"/>
            <w:tcBorders>
              <w:top w:val="single" w:color="000000" w:sz="4" w:space="0"/>
              <w:left w:val="single" w:color="000000" w:sz="12" w:space="0"/>
              <w:bottom w:val="single" w:color="000000" w:sz="12" w:space="0"/>
              <w:right w:val="single" w:color="000000" w:sz="4" w:space="0"/>
            </w:tcBorders>
            <w:vAlign w:val="center"/>
          </w:tcPr>
          <w:p>
            <w:pPr>
              <w:widowControl/>
              <w:jc w:val="left"/>
              <w:rPr>
                <w:rFonts w:ascii="宋体" w:hAnsi="宋体"/>
                <w:color w:val="000000"/>
                <w:kern w:val="0"/>
                <w:sz w:val="22"/>
                <w:szCs w:val="22"/>
              </w:rPr>
            </w:pPr>
          </w:p>
        </w:tc>
        <w:tc>
          <w:tcPr>
            <w:tcW w:w="22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语文</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试</w:t>
            </w:r>
          </w:p>
        </w:tc>
        <w:tc>
          <w:tcPr>
            <w:tcW w:w="4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理</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10</w:t>
            </w:r>
          </w:p>
        </w:tc>
        <w:tc>
          <w:tcPr>
            <w:tcW w:w="656" w:type="dxa"/>
            <w:tcBorders>
              <w:top w:val="single" w:color="000000" w:sz="4" w:space="0"/>
              <w:left w:val="single" w:color="000000" w:sz="4" w:space="0"/>
              <w:bottom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144</w:t>
            </w:r>
          </w:p>
        </w:tc>
        <w:tc>
          <w:tcPr>
            <w:tcW w:w="477"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8</w:t>
            </w:r>
          </w:p>
        </w:tc>
        <w:tc>
          <w:tcPr>
            <w:tcW w:w="550" w:type="dxa"/>
            <w:tcBorders>
              <w:top w:val="single" w:color="000000" w:sz="4"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6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6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38" w:type="dxa"/>
            <w:tcBorders>
              <w:top w:val="single" w:color="000000" w:sz="4"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r>
      <w:tr>
        <w:tblPrEx>
          <w:tblLayout w:type="fixed"/>
          <w:tblCellMar>
            <w:top w:w="15" w:type="dxa"/>
            <w:left w:w="108" w:type="dxa"/>
            <w:bottom w:w="15" w:type="dxa"/>
            <w:right w:w="108" w:type="dxa"/>
          </w:tblCellMar>
        </w:tblPrEx>
        <w:trPr>
          <w:trHeight w:val="405" w:hRule="atLeast"/>
        </w:trPr>
        <w:tc>
          <w:tcPr>
            <w:tcW w:w="505" w:type="dxa"/>
            <w:vMerge w:val="continue"/>
            <w:tcBorders>
              <w:top w:val="single" w:color="000000" w:sz="4" w:space="0"/>
              <w:left w:val="single" w:color="000000" w:sz="12" w:space="0"/>
              <w:bottom w:val="single" w:color="000000" w:sz="12" w:space="0"/>
              <w:right w:val="single" w:color="000000" w:sz="4" w:space="0"/>
            </w:tcBorders>
            <w:vAlign w:val="center"/>
          </w:tcPr>
          <w:p>
            <w:pPr>
              <w:widowControl/>
              <w:jc w:val="left"/>
              <w:rPr>
                <w:rFonts w:ascii="宋体" w:hAnsi="宋体"/>
                <w:color w:val="000000"/>
                <w:kern w:val="0"/>
                <w:sz w:val="22"/>
                <w:szCs w:val="22"/>
              </w:rPr>
            </w:pPr>
          </w:p>
        </w:tc>
        <w:tc>
          <w:tcPr>
            <w:tcW w:w="2229"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数学</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试</w:t>
            </w:r>
          </w:p>
        </w:tc>
        <w:tc>
          <w:tcPr>
            <w:tcW w:w="4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理</w:t>
            </w:r>
          </w:p>
        </w:tc>
        <w:tc>
          <w:tcPr>
            <w:tcW w:w="1065"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8</w:t>
            </w:r>
          </w:p>
        </w:tc>
        <w:tc>
          <w:tcPr>
            <w:tcW w:w="656" w:type="dxa"/>
            <w:tcBorders>
              <w:top w:val="single" w:color="000000" w:sz="4" w:space="0"/>
              <w:lef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108</w:t>
            </w:r>
          </w:p>
        </w:tc>
        <w:tc>
          <w:tcPr>
            <w:tcW w:w="477" w:type="dxa"/>
            <w:tcBorders>
              <w:top w:val="single" w:color="000000" w:sz="4" w:space="0"/>
              <w:left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8</w:t>
            </w:r>
          </w:p>
        </w:tc>
        <w:tc>
          <w:tcPr>
            <w:tcW w:w="550" w:type="dxa"/>
            <w:tcBorders>
              <w:top w:val="single" w:color="000000" w:sz="4" w:space="0"/>
              <w:left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c>
          <w:tcPr>
            <w:tcW w:w="652" w:type="dxa"/>
            <w:tcBorders>
              <w:top w:val="single" w:color="000000" w:sz="4" w:space="0"/>
              <w:left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53"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52"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653"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08"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38" w:type="dxa"/>
            <w:tcBorders>
              <w:top w:val="single" w:color="000000" w:sz="4" w:space="0"/>
              <w:left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r>
      <w:tr>
        <w:tblPrEx>
          <w:tblLayout w:type="fixed"/>
          <w:tblCellMar>
            <w:top w:w="15" w:type="dxa"/>
            <w:left w:w="108" w:type="dxa"/>
            <w:bottom w:w="15" w:type="dxa"/>
            <w:right w:w="108" w:type="dxa"/>
          </w:tblCellMar>
        </w:tblPrEx>
        <w:trPr>
          <w:trHeight w:val="405" w:hRule="atLeast"/>
        </w:trPr>
        <w:tc>
          <w:tcPr>
            <w:tcW w:w="505" w:type="dxa"/>
            <w:vMerge w:val="continue"/>
            <w:tcBorders>
              <w:top w:val="single" w:color="000000" w:sz="4" w:space="0"/>
              <w:left w:val="single" w:color="000000" w:sz="12" w:space="0"/>
              <w:bottom w:val="single" w:color="000000" w:sz="12" w:space="0"/>
              <w:right w:val="single" w:color="000000" w:sz="4" w:space="0"/>
            </w:tcBorders>
            <w:vAlign w:val="center"/>
          </w:tcPr>
          <w:p>
            <w:pPr>
              <w:widowControl/>
              <w:jc w:val="left"/>
              <w:rPr>
                <w:rFonts w:ascii="宋体" w:hAnsi="宋体"/>
                <w:color w:val="000000"/>
                <w:kern w:val="0"/>
                <w:sz w:val="22"/>
                <w:szCs w:val="22"/>
              </w:rPr>
            </w:pPr>
          </w:p>
        </w:tc>
        <w:tc>
          <w:tcPr>
            <w:tcW w:w="22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英语</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试</w:t>
            </w:r>
          </w:p>
        </w:tc>
        <w:tc>
          <w:tcPr>
            <w:tcW w:w="4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理</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6</w:t>
            </w:r>
          </w:p>
        </w:tc>
        <w:tc>
          <w:tcPr>
            <w:tcW w:w="656" w:type="dxa"/>
            <w:tcBorders>
              <w:top w:val="single" w:color="000000" w:sz="4" w:space="0"/>
              <w:left w:val="single" w:color="000000" w:sz="4" w:space="0"/>
              <w:bottom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108</w:t>
            </w:r>
          </w:p>
        </w:tc>
        <w:tc>
          <w:tcPr>
            <w:tcW w:w="477"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6</w:t>
            </w:r>
          </w:p>
        </w:tc>
        <w:tc>
          <w:tcPr>
            <w:tcW w:w="550" w:type="dxa"/>
            <w:tcBorders>
              <w:top w:val="single" w:color="000000" w:sz="4"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c>
          <w:tcPr>
            <w:tcW w:w="652"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6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6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6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38" w:type="dxa"/>
            <w:tcBorders>
              <w:top w:val="single" w:color="000000" w:sz="4"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r>
      <w:tr>
        <w:tblPrEx>
          <w:tblLayout w:type="fixed"/>
          <w:tblCellMar>
            <w:top w:w="15" w:type="dxa"/>
            <w:left w:w="108" w:type="dxa"/>
            <w:bottom w:w="15" w:type="dxa"/>
            <w:right w:w="108" w:type="dxa"/>
          </w:tblCellMar>
        </w:tblPrEx>
        <w:trPr>
          <w:trHeight w:val="405" w:hRule="atLeast"/>
        </w:trPr>
        <w:tc>
          <w:tcPr>
            <w:tcW w:w="505" w:type="dxa"/>
            <w:vMerge w:val="continue"/>
            <w:tcBorders>
              <w:top w:val="single" w:color="000000" w:sz="4" w:space="0"/>
              <w:left w:val="single" w:color="000000" w:sz="12" w:space="0"/>
              <w:bottom w:val="single" w:color="000000" w:sz="12" w:space="0"/>
              <w:right w:val="single" w:color="000000" w:sz="4" w:space="0"/>
            </w:tcBorders>
            <w:vAlign w:val="center"/>
          </w:tcPr>
          <w:p>
            <w:pPr>
              <w:widowControl/>
              <w:jc w:val="left"/>
              <w:rPr>
                <w:rFonts w:ascii="宋体" w:hAnsi="宋体"/>
                <w:color w:val="000000"/>
                <w:kern w:val="0"/>
                <w:sz w:val="22"/>
                <w:szCs w:val="22"/>
              </w:rPr>
            </w:pPr>
          </w:p>
        </w:tc>
        <w:tc>
          <w:tcPr>
            <w:tcW w:w="2229"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商务礼仪</w:t>
            </w:r>
          </w:p>
        </w:tc>
        <w:tc>
          <w:tcPr>
            <w:tcW w:w="535"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查</w:t>
            </w:r>
          </w:p>
        </w:tc>
        <w:tc>
          <w:tcPr>
            <w:tcW w:w="447"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理</w:t>
            </w:r>
          </w:p>
        </w:tc>
        <w:tc>
          <w:tcPr>
            <w:tcW w:w="1065"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656" w:type="dxa"/>
            <w:tcBorders>
              <w:left w:val="single" w:color="000000" w:sz="4" w:space="0"/>
              <w:bottom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36</w:t>
            </w:r>
          </w:p>
        </w:tc>
        <w:tc>
          <w:tcPr>
            <w:tcW w:w="477" w:type="dxa"/>
            <w:tcBorders>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550" w:type="dxa"/>
            <w:tcBorders>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c>
          <w:tcPr>
            <w:tcW w:w="652" w:type="dxa"/>
            <w:tcBorders>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2"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08"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638" w:type="dxa"/>
            <w:tcBorders>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r>
      <w:tr>
        <w:tblPrEx>
          <w:tblLayout w:type="fixed"/>
          <w:tblCellMar>
            <w:top w:w="15" w:type="dxa"/>
            <w:left w:w="108" w:type="dxa"/>
            <w:bottom w:w="15" w:type="dxa"/>
            <w:right w:w="108" w:type="dxa"/>
          </w:tblCellMar>
        </w:tblPrEx>
        <w:trPr>
          <w:trHeight w:val="405" w:hRule="atLeast"/>
        </w:trPr>
        <w:tc>
          <w:tcPr>
            <w:tcW w:w="505" w:type="dxa"/>
            <w:vMerge w:val="restart"/>
            <w:tcBorders>
              <w:left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专业核心课</w:t>
            </w:r>
          </w:p>
        </w:tc>
        <w:tc>
          <w:tcPr>
            <w:tcW w:w="2229"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基础会计</w:t>
            </w:r>
          </w:p>
        </w:tc>
        <w:tc>
          <w:tcPr>
            <w:tcW w:w="535"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试</w:t>
            </w:r>
          </w:p>
        </w:tc>
        <w:tc>
          <w:tcPr>
            <w:tcW w:w="447"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理</w:t>
            </w:r>
          </w:p>
        </w:tc>
        <w:tc>
          <w:tcPr>
            <w:tcW w:w="1065"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8</w:t>
            </w:r>
          </w:p>
        </w:tc>
        <w:tc>
          <w:tcPr>
            <w:tcW w:w="656" w:type="dxa"/>
            <w:tcBorders>
              <w:left w:val="single" w:color="000000" w:sz="4" w:space="0"/>
              <w:bottom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144</w:t>
            </w:r>
          </w:p>
        </w:tc>
        <w:tc>
          <w:tcPr>
            <w:tcW w:w="477" w:type="dxa"/>
            <w:tcBorders>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6</w:t>
            </w:r>
          </w:p>
        </w:tc>
        <w:tc>
          <w:tcPr>
            <w:tcW w:w="550" w:type="dxa"/>
            <w:tcBorders>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652" w:type="dxa"/>
            <w:tcBorders>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6</w:t>
            </w:r>
          </w:p>
        </w:tc>
        <w:tc>
          <w:tcPr>
            <w:tcW w:w="653"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2"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08"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38" w:type="dxa"/>
            <w:tcBorders>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r>
      <w:tr>
        <w:tblPrEx>
          <w:tblLayout w:type="fixed"/>
          <w:tblCellMar>
            <w:top w:w="15" w:type="dxa"/>
            <w:left w:w="108" w:type="dxa"/>
            <w:bottom w:w="15" w:type="dxa"/>
            <w:right w:w="108" w:type="dxa"/>
          </w:tblCellMar>
        </w:tblPrEx>
        <w:trPr>
          <w:trHeight w:val="405" w:hRule="atLeast"/>
        </w:trPr>
        <w:tc>
          <w:tcPr>
            <w:tcW w:w="505" w:type="dxa"/>
            <w:vMerge w:val="continue"/>
            <w:tcBorders>
              <w:left w:val="single" w:color="000000" w:sz="12" w:space="0"/>
              <w:right w:val="single" w:color="000000" w:sz="4" w:space="0"/>
            </w:tcBorders>
            <w:vAlign w:val="center"/>
          </w:tcPr>
          <w:p>
            <w:pPr>
              <w:widowControl/>
              <w:jc w:val="left"/>
              <w:rPr>
                <w:rFonts w:ascii="宋体" w:hAnsi="宋体"/>
                <w:color w:val="000000"/>
                <w:kern w:val="0"/>
                <w:sz w:val="22"/>
                <w:szCs w:val="22"/>
              </w:rPr>
            </w:pPr>
          </w:p>
        </w:tc>
        <w:tc>
          <w:tcPr>
            <w:tcW w:w="22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企业财务会计</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试</w:t>
            </w:r>
          </w:p>
        </w:tc>
        <w:tc>
          <w:tcPr>
            <w:tcW w:w="4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理</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10</w:t>
            </w:r>
          </w:p>
        </w:tc>
        <w:tc>
          <w:tcPr>
            <w:tcW w:w="656" w:type="dxa"/>
            <w:tcBorders>
              <w:top w:val="single" w:color="000000" w:sz="4" w:space="0"/>
              <w:left w:val="single" w:color="000000" w:sz="4" w:space="0"/>
              <w:bottom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180</w:t>
            </w:r>
          </w:p>
        </w:tc>
        <w:tc>
          <w:tcPr>
            <w:tcW w:w="477"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10</w:t>
            </w:r>
          </w:p>
        </w:tc>
        <w:tc>
          <w:tcPr>
            <w:tcW w:w="550" w:type="dxa"/>
            <w:tcBorders>
              <w:top w:val="single" w:color="000000" w:sz="4"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c>
          <w:tcPr>
            <w:tcW w:w="652"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6</w:t>
            </w:r>
          </w:p>
        </w:tc>
        <w:tc>
          <w:tcPr>
            <w:tcW w:w="6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38" w:type="dxa"/>
            <w:tcBorders>
              <w:top w:val="single" w:color="000000" w:sz="4"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r>
      <w:tr>
        <w:tblPrEx>
          <w:tblLayout w:type="fixed"/>
          <w:tblCellMar>
            <w:top w:w="15" w:type="dxa"/>
            <w:left w:w="108" w:type="dxa"/>
            <w:bottom w:w="15" w:type="dxa"/>
            <w:right w:w="108" w:type="dxa"/>
          </w:tblCellMar>
        </w:tblPrEx>
        <w:trPr>
          <w:trHeight w:val="405" w:hRule="atLeast"/>
        </w:trPr>
        <w:tc>
          <w:tcPr>
            <w:tcW w:w="505" w:type="dxa"/>
            <w:vMerge w:val="continue"/>
            <w:tcBorders>
              <w:left w:val="single" w:color="000000" w:sz="12" w:space="0"/>
              <w:right w:val="single" w:color="000000" w:sz="4" w:space="0"/>
            </w:tcBorders>
            <w:vAlign w:val="center"/>
          </w:tcPr>
          <w:p>
            <w:pPr>
              <w:widowControl/>
              <w:jc w:val="left"/>
              <w:rPr>
                <w:rFonts w:ascii="宋体" w:hAnsi="宋体"/>
                <w:color w:val="000000"/>
                <w:kern w:val="0"/>
                <w:sz w:val="22"/>
                <w:szCs w:val="22"/>
              </w:rPr>
            </w:pPr>
          </w:p>
        </w:tc>
        <w:tc>
          <w:tcPr>
            <w:tcW w:w="22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成本核算实务</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试</w:t>
            </w:r>
          </w:p>
        </w:tc>
        <w:tc>
          <w:tcPr>
            <w:tcW w:w="4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理</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56" w:type="dxa"/>
            <w:tcBorders>
              <w:top w:val="single" w:color="000000" w:sz="4" w:space="0"/>
              <w:left w:val="single" w:color="000000" w:sz="4" w:space="0"/>
              <w:bottom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72</w:t>
            </w:r>
          </w:p>
        </w:tc>
        <w:tc>
          <w:tcPr>
            <w:tcW w:w="477"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550" w:type="dxa"/>
            <w:tcBorders>
              <w:top w:val="single" w:color="000000" w:sz="4"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c>
          <w:tcPr>
            <w:tcW w:w="652"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38" w:type="dxa"/>
            <w:tcBorders>
              <w:top w:val="single" w:color="000000" w:sz="4"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r>
      <w:tr>
        <w:tblPrEx>
          <w:tblLayout w:type="fixed"/>
          <w:tblCellMar>
            <w:top w:w="15" w:type="dxa"/>
            <w:left w:w="108" w:type="dxa"/>
            <w:bottom w:w="15" w:type="dxa"/>
            <w:right w:w="108" w:type="dxa"/>
          </w:tblCellMar>
        </w:tblPrEx>
        <w:trPr>
          <w:trHeight w:val="405" w:hRule="atLeast"/>
        </w:trPr>
        <w:tc>
          <w:tcPr>
            <w:tcW w:w="505" w:type="dxa"/>
            <w:vMerge w:val="continue"/>
            <w:tcBorders>
              <w:left w:val="single" w:color="000000" w:sz="12" w:space="0"/>
              <w:right w:val="single" w:color="000000" w:sz="4" w:space="0"/>
            </w:tcBorders>
            <w:vAlign w:val="center"/>
          </w:tcPr>
          <w:p>
            <w:pPr>
              <w:widowControl/>
              <w:jc w:val="left"/>
              <w:rPr>
                <w:rFonts w:ascii="宋体" w:hAnsi="宋体"/>
                <w:color w:val="000000"/>
                <w:kern w:val="0"/>
                <w:sz w:val="22"/>
                <w:szCs w:val="22"/>
              </w:rPr>
            </w:pPr>
          </w:p>
        </w:tc>
        <w:tc>
          <w:tcPr>
            <w:tcW w:w="2229"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初级会计实务</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试</w:t>
            </w:r>
          </w:p>
        </w:tc>
        <w:tc>
          <w:tcPr>
            <w:tcW w:w="4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理</w:t>
            </w:r>
          </w:p>
        </w:tc>
        <w:tc>
          <w:tcPr>
            <w:tcW w:w="1065"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10</w:t>
            </w:r>
          </w:p>
        </w:tc>
        <w:tc>
          <w:tcPr>
            <w:tcW w:w="656" w:type="dxa"/>
            <w:tcBorders>
              <w:left w:val="single" w:color="000000" w:sz="4" w:space="0"/>
              <w:bottom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180</w:t>
            </w:r>
          </w:p>
        </w:tc>
        <w:tc>
          <w:tcPr>
            <w:tcW w:w="477" w:type="dxa"/>
            <w:tcBorders>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550" w:type="dxa"/>
            <w:tcBorders>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c>
          <w:tcPr>
            <w:tcW w:w="652" w:type="dxa"/>
            <w:tcBorders>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2"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6</w:t>
            </w:r>
          </w:p>
        </w:tc>
        <w:tc>
          <w:tcPr>
            <w:tcW w:w="608"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38" w:type="dxa"/>
            <w:tcBorders>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r>
      <w:tr>
        <w:tblPrEx>
          <w:tblLayout w:type="fixed"/>
          <w:tblCellMar>
            <w:top w:w="15" w:type="dxa"/>
            <w:left w:w="108" w:type="dxa"/>
            <w:bottom w:w="15" w:type="dxa"/>
            <w:right w:w="108" w:type="dxa"/>
          </w:tblCellMar>
        </w:tblPrEx>
        <w:trPr>
          <w:trHeight w:val="405" w:hRule="atLeast"/>
        </w:trPr>
        <w:tc>
          <w:tcPr>
            <w:tcW w:w="505" w:type="dxa"/>
            <w:vMerge w:val="continue"/>
            <w:tcBorders>
              <w:left w:val="single" w:color="000000" w:sz="12" w:space="0"/>
              <w:right w:val="single" w:color="000000" w:sz="4" w:space="0"/>
            </w:tcBorders>
            <w:vAlign w:val="center"/>
          </w:tcPr>
          <w:p>
            <w:pPr>
              <w:widowControl/>
              <w:jc w:val="left"/>
              <w:rPr>
                <w:rFonts w:ascii="宋体" w:hAnsi="宋体"/>
                <w:color w:val="000000"/>
                <w:kern w:val="0"/>
                <w:sz w:val="22"/>
                <w:szCs w:val="22"/>
              </w:rPr>
            </w:pPr>
          </w:p>
        </w:tc>
        <w:tc>
          <w:tcPr>
            <w:tcW w:w="2229"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rPr>
            </w:pPr>
            <w:r>
              <w:rPr>
                <w:rFonts w:hint="eastAsia" w:ascii="宋体" w:hAnsi="宋体"/>
                <w:color w:val="000000"/>
                <w:kern w:val="0"/>
              </w:rPr>
              <w:t>纳税会计（税款缴纳与计算）</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试</w:t>
            </w:r>
          </w:p>
        </w:tc>
        <w:tc>
          <w:tcPr>
            <w:tcW w:w="4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理</w:t>
            </w:r>
          </w:p>
        </w:tc>
        <w:tc>
          <w:tcPr>
            <w:tcW w:w="1065"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56" w:type="dxa"/>
            <w:tcBorders>
              <w:left w:val="single" w:color="000000" w:sz="4" w:space="0"/>
              <w:bottom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72</w:t>
            </w:r>
          </w:p>
        </w:tc>
        <w:tc>
          <w:tcPr>
            <w:tcW w:w="477" w:type="dxa"/>
            <w:tcBorders>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550" w:type="dxa"/>
            <w:tcBorders>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c>
          <w:tcPr>
            <w:tcW w:w="652" w:type="dxa"/>
            <w:tcBorders>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2"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08"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38" w:type="dxa"/>
            <w:tcBorders>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r>
      <w:tr>
        <w:tblPrEx>
          <w:tblLayout w:type="fixed"/>
          <w:tblCellMar>
            <w:top w:w="15" w:type="dxa"/>
            <w:left w:w="108" w:type="dxa"/>
            <w:bottom w:w="15" w:type="dxa"/>
            <w:right w:w="108" w:type="dxa"/>
          </w:tblCellMar>
        </w:tblPrEx>
        <w:trPr>
          <w:trHeight w:val="585" w:hRule="atLeast"/>
        </w:trPr>
        <w:tc>
          <w:tcPr>
            <w:tcW w:w="505" w:type="dxa"/>
            <w:vMerge w:val="continue"/>
            <w:tcBorders>
              <w:left w:val="single" w:color="000000" w:sz="12" w:space="0"/>
              <w:right w:val="single" w:color="000000" w:sz="4" w:space="0"/>
            </w:tcBorders>
            <w:vAlign w:val="center"/>
          </w:tcPr>
          <w:p>
            <w:pPr>
              <w:widowControl/>
              <w:jc w:val="left"/>
              <w:rPr>
                <w:rFonts w:ascii="宋体" w:hAnsi="宋体"/>
                <w:color w:val="000000"/>
                <w:kern w:val="0"/>
                <w:sz w:val="22"/>
                <w:szCs w:val="22"/>
              </w:rPr>
            </w:pPr>
          </w:p>
        </w:tc>
        <w:tc>
          <w:tcPr>
            <w:tcW w:w="2229"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财务管理</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试</w:t>
            </w:r>
          </w:p>
        </w:tc>
        <w:tc>
          <w:tcPr>
            <w:tcW w:w="4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理</w:t>
            </w:r>
          </w:p>
        </w:tc>
        <w:tc>
          <w:tcPr>
            <w:tcW w:w="1065"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56" w:type="dxa"/>
            <w:tcBorders>
              <w:left w:val="single" w:color="000000" w:sz="4" w:space="0"/>
              <w:bottom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72</w:t>
            </w:r>
          </w:p>
        </w:tc>
        <w:tc>
          <w:tcPr>
            <w:tcW w:w="477" w:type="dxa"/>
            <w:tcBorders>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550" w:type="dxa"/>
            <w:tcBorders>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c>
          <w:tcPr>
            <w:tcW w:w="652" w:type="dxa"/>
            <w:tcBorders>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2"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08"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38" w:type="dxa"/>
            <w:tcBorders>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r>
      <w:tr>
        <w:tblPrEx>
          <w:tblLayout w:type="fixed"/>
          <w:tblCellMar>
            <w:top w:w="15" w:type="dxa"/>
            <w:left w:w="108" w:type="dxa"/>
            <w:bottom w:w="15" w:type="dxa"/>
            <w:right w:w="108" w:type="dxa"/>
          </w:tblCellMar>
        </w:tblPrEx>
        <w:trPr>
          <w:trHeight w:val="405" w:hRule="atLeast"/>
        </w:trPr>
        <w:tc>
          <w:tcPr>
            <w:tcW w:w="505" w:type="dxa"/>
            <w:vMerge w:val="continue"/>
            <w:tcBorders>
              <w:left w:val="single" w:color="000000" w:sz="12" w:space="0"/>
              <w:right w:val="single" w:color="000000" w:sz="4" w:space="0"/>
            </w:tcBorders>
            <w:vAlign w:val="center"/>
          </w:tcPr>
          <w:p>
            <w:pPr>
              <w:widowControl/>
              <w:jc w:val="left"/>
              <w:rPr>
                <w:rFonts w:ascii="宋体" w:hAnsi="宋体"/>
                <w:color w:val="000000"/>
                <w:kern w:val="0"/>
                <w:sz w:val="22"/>
                <w:szCs w:val="22"/>
              </w:rPr>
            </w:pPr>
          </w:p>
        </w:tc>
        <w:tc>
          <w:tcPr>
            <w:tcW w:w="2229"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统计基础</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试</w:t>
            </w:r>
          </w:p>
        </w:tc>
        <w:tc>
          <w:tcPr>
            <w:tcW w:w="4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理</w:t>
            </w:r>
          </w:p>
        </w:tc>
        <w:tc>
          <w:tcPr>
            <w:tcW w:w="1065"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56" w:type="dxa"/>
            <w:tcBorders>
              <w:left w:val="single" w:color="000000" w:sz="4" w:space="0"/>
              <w:bottom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72</w:t>
            </w:r>
          </w:p>
        </w:tc>
        <w:tc>
          <w:tcPr>
            <w:tcW w:w="477" w:type="dxa"/>
            <w:tcBorders>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550" w:type="dxa"/>
            <w:tcBorders>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c>
          <w:tcPr>
            <w:tcW w:w="652" w:type="dxa"/>
            <w:tcBorders>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2"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08"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38" w:type="dxa"/>
            <w:tcBorders>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r>
      <w:tr>
        <w:tblPrEx>
          <w:tblLayout w:type="fixed"/>
          <w:tblCellMar>
            <w:top w:w="15" w:type="dxa"/>
            <w:left w:w="108" w:type="dxa"/>
            <w:bottom w:w="15" w:type="dxa"/>
            <w:right w:w="108" w:type="dxa"/>
          </w:tblCellMar>
        </w:tblPrEx>
        <w:trPr>
          <w:trHeight w:val="405" w:hRule="atLeast"/>
        </w:trPr>
        <w:tc>
          <w:tcPr>
            <w:tcW w:w="505" w:type="dxa"/>
            <w:tcBorders>
              <w:left w:val="single" w:color="000000" w:sz="12" w:space="0"/>
              <w:right w:val="single" w:color="000000" w:sz="4" w:space="0"/>
            </w:tcBorders>
            <w:vAlign w:val="center"/>
          </w:tcPr>
          <w:p>
            <w:pPr>
              <w:widowControl/>
              <w:jc w:val="center"/>
              <w:rPr>
                <w:rFonts w:ascii="宋体" w:hAnsi="宋体"/>
                <w:color w:val="000000"/>
                <w:kern w:val="0"/>
                <w:sz w:val="22"/>
                <w:szCs w:val="22"/>
              </w:rPr>
            </w:pPr>
          </w:p>
        </w:tc>
        <w:tc>
          <w:tcPr>
            <w:tcW w:w="2229"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企业管理</w:t>
            </w:r>
          </w:p>
        </w:tc>
        <w:tc>
          <w:tcPr>
            <w:tcW w:w="535"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试</w:t>
            </w:r>
          </w:p>
        </w:tc>
        <w:tc>
          <w:tcPr>
            <w:tcW w:w="447"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理</w:t>
            </w:r>
          </w:p>
        </w:tc>
        <w:tc>
          <w:tcPr>
            <w:tcW w:w="1065"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56" w:type="dxa"/>
            <w:tcBorders>
              <w:top w:val="single" w:color="000000" w:sz="4" w:space="0"/>
              <w:lef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72</w:t>
            </w:r>
          </w:p>
        </w:tc>
        <w:tc>
          <w:tcPr>
            <w:tcW w:w="477" w:type="dxa"/>
            <w:tcBorders>
              <w:top w:val="single" w:color="000000" w:sz="4" w:space="0"/>
              <w:left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550" w:type="dxa"/>
            <w:tcBorders>
              <w:top w:val="single" w:color="000000" w:sz="4" w:space="0"/>
              <w:left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c>
          <w:tcPr>
            <w:tcW w:w="652" w:type="dxa"/>
            <w:tcBorders>
              <w:top w:val="single" w:color="000000" w:sz="4" w:space="0"/>
              <w:left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2"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53"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08"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38" w:type="dxa"/>
            <w:tcBorders>
              <w:top w:val="single" w:color="000000" w:sz="4" w:space="0"/>
              <w:left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r>
      <w:tr>
        <w:tblPrEx>
          <w:tblLayout w:type="fixed"/>
          <w:tblCellMar>
            <w:top w:w="15" w:type="dxa"/>
            <w:left w:w="108" w:type="dxa"/>
            <w:bottom w:w="15" w:type="dxa"/>
            <w:right w:w="108" w:type="dxa"/>
          </w:tblCellMar>
        </w:tblPrEx>
        <w:trPr>
          <w:trHeight w:val="405" w:hRule="atLeast"/>
        </w:trPr>
        <w:tc>
          <w:tcPr>
            <w:tcW w:w="505" w:type="dxa"/>
            <w:tcBorders>
              <w:left w:val="single" w:color="000000" w:sz="12" w:space="0"/>
              <w:right w:val="single" w:color="000000" w:sz="4" w:space="0"/>
            </w:tcBorders>
            <w:vAlign w:val="center"/>
          </w:tcPr>
          <w:p>
            <w:pPr>
              <w:widowControl/>
              <w:jc w:val="center"/>
              <w:rPr>
                <w:rFonts w:ascii="宋体" w:hAnsi="宋体"/>
                <w:color w:val="000000"/>
                <w:kern w:val="0"/>
                <w:sz w:val="22"/>
                <w:szCs w:val="22"/>
              </w:rPr>
            </w:pPr>
          </w:p>
        </w:tc>
        <w:tc>
          <w:tcPr>
            <w:tcW w:w="2229"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市场营销</w:t>
            </w:r>
          </w:p>
        </w:tc>
        <w:tc>
          <w:tcPr>
            <w:tcW w:w="535"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试</w:t>
            </w:r>
          </w:p>
        </w:tc>
        <w:tc>
          <w:tcPr>
            <w:tcW w:w="447"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理</w:t>
            </w:r>
          </w:p>
        </w:tc>
        <w:tc>
          <w:tcPr>
            <w:tcW w:w="1065"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56" w:type="dxa"/>
            <w:tcBorders>
              <w:top w:val="single" w:color="000000" w:sz="4" w:space="0"/>
              <w:lef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72</w:t>
            </w:r>
          </w:p>
        </w:tc>
        <w:tc>
          <w:tcPr>
            <w:tcW w:w="477" w:type="dxa"/>
            <w:tcBorders>
              <w:top w:val="single" w:color="000000" w:sz="4" w:space="0"/>
              <w:left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550" w:type="dxa"/>
            <w:tcBorders>
              <w:top w:val="single" w:color="000000" w:sz="4" w:space="0"/>
              <w:left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c>
          <w:tcPr>
            <w:tcW w:w="652" w:type="dxa"/>
            <w:tcBorders>
              <w:top w:val="single" w:color="000000" w:sz="4" w:space="0"/>
              <w:left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2"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08"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38" w:type="dxa"/>
            <w:tcBorders>
              <w:top w:val="single" w:color="000000" w:sz="4" w:space="0"/>
              <w:left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r>
      <w:tr>
        <w:tblPrEx>
          <w:tblLayout w:type="fixed"/>
          <w:tblCellMar>
            <w:top w:w="15" w:type="dxa"/>
            <w:left w:w="108" w:type="dxa"/>
            <w:bottom w:w="15" w:type="dxa"/>
            <w:right w:w="108" w:type="dxa"/>
          </w:tblCellMar>
        </w:tblPrEx>
        <w:trPr>
          <w:trHeight w:val="405" w:hRule="atLeast"/>
        </w:trPr>
        <w:tc>
          <w:tcPr>
            <w:tcW w:w="505" w:type="dxa"/>
            <w:tcBorders>
              <w:left w:val="single" w:color="000000" w:sz="12" w:space="0"/>
              <w:right w:val="single" w:color="000000" w:sz="4" w:space="0"/>
            </w:tcBorders>
            <w:vAlign w:val="center"/>
          </w:tcPr>
          <w:p>
            <w:pPr>
              <w:widowControl/>
              <w:jc w:val="center"/>
              <w:rPr>
                <w:rFonts w:ascii="宋体" w:hAnsi="宋体"/>
                <w:color w:val="000000"/>
                <w:kern w:val="0"/>
                <w:sz w:val="22"/>
                <w:szCs w:val="22"/>
              </w:rPr>
            </w:pPr>
          </w:p>
        </w:tc>
        <w:tc>
          <w:tcPr>
            <w:tcW w:w="2229"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财经法规与职业道德</w:t>
            </w:r>
          </w:p>
        </w:tc>
        <w:tc>
          <w:tcPr>
            <w:tcW w:w="535"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试</w:t>
            </w:r>
          </w:p>
        </w:tc>
        <w:tc>
          <w:tcPr>
            <w:tcW w:w="447"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理</w:t>
            </w:r>
          </w:p>
        </w:tc>
        <w:tc>
          <w:tcPr>
            <w:tcW w:w="1065"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56" w:type="dxa"/>
            <w:tcBorders>
              <w:top w:val="single" w:color="000000" w:sz="4" w:space="0"/>
              <w:lef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72</w:t>
            </w:r>
          </w:p>
        </w:tc>
        <w:tc>
          <w:tcPr>
            <w:tcW w:w="477" w:type="dxa"/>
            <w:tcBorders>
              <w:top w:val="single" w:color="000000" w:sz="4" w:space="0"/>
              <w:left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550" w:type="dxa"/>
            <w:tcBorders>
              <w:top w:val="single" w:color="000000" w:sz="4" w:space="0"/>
              <w:left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c>
          <w:tcPr>
            <w:tcW w:w="652" w:type="dxa"/>
            <w:tcBorders>
              <w:top w:val="single" w:color="000000" w:sz="4" w:space="0"/>
              <w:left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2"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08"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38" w:type="dxa"/>
            <w:tcBorders>
              <w:top w:val="single" w:color="000000" w:sz="4" w:space="0"/>
              <w:left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r>
      <w:tr>
        <w:tblPrEx>
          <w:tblLayout w:type="fixed"/>
          <w:tblCellMar>
            <w:top w:w="15" w:type="dxa"/>
            <w:left w:w="108" w:type="dxa"/>
            <w:bottom w:w="15" w:type="dxa"/>
            <w:right w:w="108" w:type="dxa"/>
          </w:tblCellMar>
        </w:tblPrEx>
        <w:trPr>
          <w:trHeight w:val="405" w:hRule="atLeast"/>
        </w:trPr>
        <w:tc>
          <w:tcPr>
            <w:tcW w:w="505" w:type="dxa"/>
            <w:tcBorders>
              <w:left w:val="single" w:color="000000" w:sz="12" w:space="0"/>
              <w:right w:val="single" w:color="000000" w:sz="4" w:space="0"/>
            </w:tcBorders>
            <w:vAlign w:val="center"/>
          </w:tcPr>
          <w:p>
            <w:pPr>
              <w:widowControl/>
              <w:jc w:val="center"/>
              <w:rPr>
                <w:rFonts w:ascii="宋体" w:hAnsi="宋体"/>
                <w:color w:val="000000"/>
                <w:kern w:val="0"/>
                <w:sz w:val="22"/>
                <w:szCs w:val="22"/>
              </w:rPr>
            </w:pPr>
          </w:p>
        </w:tc>
        <w:tc>
          <w:tcPr>
            <w:tcW w:w="2229"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经济法基础</w:t>
            </w:r>
          </w:p>
        </w:tc>
        <w:tc>
          <w:tcPr>
            <w:tcW w:w="535"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试</w:t>
            </w:r>
          </w:p>
        </w:tc>
        <w:tc>
          <w:tcPr>
            <w:tcW w:w="447"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理</w:t>
            </w:r>
          </w:p>
        </w:tc>
        <w:tc>
          <w:tcPr>
            <w:tcW w:w="1065"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8</w:t>
            </w:r>
          </w:p>
        </w:tc>
        <w:tc>
          <w:tcPr>
            <w:tcW w:w="656" w:type="dxa"/>
            <w:tcBorders>
              <w:top w:val="single" w:color="000000" w:sz="4" w:space="0"/>
              <w:lef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144</w:t>
            </w:r>
          </w:p>
        </w:tc>
        <w:tc>
          <w:tcPr>
            <w:tcW w:w="477" w:type="dxa"/>
            <w:tcBorders>
              <w:top w:val="single" w:color="000000" w:sz="4" w:space="0"/>
              <w:left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550" w:type="dxa"/>
            <w:tcBorders>
              <w:top w:val="single" w:color="000000" w:sz="4" w:space="0"/>
              <w:left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c>
          <w:tcPr>
            <w:tcW w:w="652" w:type="dxa"/>
            <w:tcBorders>
              <w:top w:val="single" w:color="000000" w:sz="4" w:space="0"/>
              <w:left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2"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08" w:type="dxa"/>
            <w:tcBorders>
              <w:top w:val="single" w:color="000000" w:sz="4" w:space="0"/>
              <w:left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38" w:type="dxa"/>
            <w:tcBorders>
              <w:top w:val="single" w:color="000000" w:sz="4" w:space="0"/>
              <w:left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r>
      <w:tr>
        <w:tblPrEx>
          <w:tblLayout w:type="fixed"/>
          <w:tblCellMar>
            <w:top w:w="15" w:type="dxa"/>
            <w:left w:w="108" w:type="dxa"/>
            <w:bottom w:w="15" w:type="dxa"/>
            <w:right w:w="108" w:type="dxa"/>
          </w:tblCellMar>
        </w:tblPrEx>
        <w:trPr>
          <w:trHeight w:val="405" w:hRule="atLeast"/>
        </w:trPr>
        <w:tc>
          <w:tcPr>
            <w:tcW w:w="505" w:type="dxa"/>
            <w:tcBorders>
              <w:left w:val="single" w:color="000000" w:sz="12" w:space="0"/>
              <w:right w:val="single" w:color="000000" w:sz="4" w:space="0"/>
            </w:tcBorders>
            <w:vAlign w:val="center"/>
          </w:tcPr>
          <w:p>
            <w:pPr>
              <w:widowControl/>
              <w:jc w:val="center"/>
              <w:rPr>
                <w:rFonts w:ascii="宋体" w:hAnsi="宋体"/>
                <w:color w:val="000000"/>
                <w:kern w:val="0"/>
                <w:sz w:val="22"/>
                <w:szCs w:val="22"/>
              </w:rPr>
            </w:pPr>
          </w:p>
        </w:tc>
        <w:tc>
          <w:tcPr>
            <w:tcW w:w="22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rPr>
                <w:rFonts w:ascii="宋体" w:hAnsi="宋体"/>
                <w:color w:val="000000"/>
                <w:kern w:val="0"/>
              </w:rPr>
            </w:pPr>
            <w:r>
              <w:rPr>
                <w:rFonts w:hint="eastAsia" w:ascii="宋体" w:hAnsi="宋体"/>
                <w:color w:val="000000"/>
                <w:kern w:val="0"/>
              </w:rPr>
              <w:t>会计电算化（T3）（含excel在会计中应用）</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试</w:t>
            </w:r>
          </w:p>
        </w:tc>
        <w:tc>
          <w:tcPr>
            <w:tcW w:w="4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实</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6</w:t>
            </w:r>
          </w:p>
        </w:tc>
        <w:tc>
          <w:tcPr>
            <w:tcW w:w="656" w:type="dxa"/>
            <w:tcBorders>
              <w:top w:val="single" w:color="000000" w:sz="4" w:space="0"/>
              <w:left w:val="single" w:color="000000" w:sz="4" w:space="0"/>
              <w:bottom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108</w:t>
            </w:r>
          </w:p>
        </w:tc>
        <w:tc>
          <w:tcPr>
            <w:tcW w:w="477"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550" w:type="dxa"/>
            <w:tcBorders>
              <w:top w:val="single" w:color="000000" w:sz="4"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6</w:t>
            </w:r>
          </w:p>
        </w:tc>
        <w:tc>
          <w:tcPr>
            <w:tcW w:w="652"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6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FF6600"/>
                <w:kern w:val="0"/>
                <w:sz w:val="22"/>
                <w:szCs w:val="22"/>
              </w:rPr>
            </w:pPr>
          </w:p>
        </w:tc>
        <w:tc>
          <w:tcPr>
            <w:tcW w:w="6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38" w:type="dxa"/>
            <w:tcBorders>
              <w:top w:val="single" w:color="000000" w:sz="4"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r>
      <w:tr>
        <w:tblPrEx>
          <w:tblLayout w:type="fixed"/>
          <w:tblCellMar>
            <w:top w:w="15" w:type="dxa"/>
            <w:left w:w="108" w:type="dxa"/>
            <w:bottom w:w="15" w:type="dxa"/>
            <w:right w:w="108" w:type="dxa"/>
          </w:tblCellMar>
        </w:tblPrEx>
        <w:trPr>
          <w:trHeight w:val="405" w:hRule="atLeast"/>
        </w:trPr>
        <w:tc>
          <w:tcPr>
            <w:tcW w:w="505" w:type="dxa"/>
            <w:vMerge w:val="restart"/>
            <w:tcBorders>
              <w:top w:val="single" w:color="000000" w:sz="12" w:space="0"/>
              <w:left w:val="single" w:color="000000" w:sz="12" w:space="0"/>
              <w:right w:val="single" w:color="000000" w:sz="4" w:space="0"/>
            </w:tcBorders>
            <w:shd w:val="clear" w:color="auto" w:fill="FFFFFF"/>
            <w:vAlign w:val="center"/>
          </w:tcPr>
          <w:p>
            <w:pPr>
              <w:jc w:val="center"/>
              <w:rPr>
                <w:rFonts w:hint="eastAsia" w:ascii="宋体" w:hAnsi="宋体"/>
                <w:color w:val="000000"/>
                <w:kern w:val="0"/>
                <w:sz w:val="22"/>
                <w:szCs w:val="22"/>
              </w:rPr>
            </w:pPr>
            <w:r>
              <w:rPr>
                <w:rFonts w:hint="eastAsia" w:ascii="宋体" w:hAnsi="宋体"/>
                <w:color w:val="000000"/>
                <w:kern w:val="0"/>
                <w:sz w:val="22"/>
                <w:szCs w:val="22"/>
              </w:rPr>
              <w:t>专业技能课</w:t>
            </w:r>
          </w:p>
        </w:tc>
        <w:tc>
          <w:tcPr>
            <w:tcW w:w="2229"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演讲与口才</w:t>
            </w:r>
          </w:p>
        </w:tc>
        <w:tc>
          <w:tcPr>
            <w:tcW w:w="535" w:type="dxa"/>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查</w:t>
            </w:r>
          </w:p>
        </w:tc>
        <w:tc>
          <w:tcPr>
            <w:tcW w:w="447" w:type="dxa"/>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理</w:t>
            </w:r>
          </w:p>
        </w:tc>
        <w:tc>
          <w:tcPr>
            <w:tcW w:w="1065" w:type="dxa"/>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656" w:type="dxa"/>
            <w:tcBorders>
              <w:top w:val="single" w:color="000000" w:sz="12" w:space="0"/>
              <w:left w:val="single" w:color="000000" w:sz="4" w:space="0"/>
              <w:bottom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36</w:t>
            </w:r>
          </w:p>
        </w:tc>
        <w:tc>
          <w:tcPr>
            <w:tcW w:w="477" w:type="dxa"/>
            <w:tcBorders>
              <w:top w:val="single" w:color="000000" w:sz="12"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550" w:type="dxa"/>
            <w:tcBorders>
              <w:top w:val="single" w:color="000000" w:sz="12"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c>
          <w:tcPr>
            <w:tcW w:w="652" w:type="dxa"/>
            <w:tcBorders>
              <w:top w:val="single" w:color="000000" w:sz="12"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2" w:type="dxa"/>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608" w:type="dxa"/>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38" w:type="dxa"/>
            <w:tcBorders>
              <w:top w:val="single" w:color="000000" w:sz="12"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r>
      <w:tr>
        <w:tblPrEx>
          <w:tblLayout w:type="fixed"/>
          <w:tblCellMar>
            <w:top w:w="15" w:type="dxa"/>
            <w:left w:w="108" w:type="dxa"/>
            <w:bottom w:w="15" w:type="dxa"/>
            <w:right w:w="108" w:type="dxa"/>
          </w:tblCellMar>
        </w:tblPrEx>
        <w:trPr>
          <w:trHeight w:val="405" w:hRule="atLeast"/>
        </w:trPr>
        <w:tc>
          <w:tcPr>
            <w:tcW w:w="505" w:type="dxa"/>
            <w:vMerge w:val="continue"/>
            <w:tcBorders>
              <w:left w:val="single" w:color="000000" w:sz="12" w:space="0"/>
              <w:right w:val="single" w:color="000000" w:sz="4" w:space="0"/>
            </w:tcBorders>
            <w:shd w:val="clear" w:color="auto" w:fill="FFFFFF"/>
            <w:vAlign w:val="center"/>
          </w:tcPr>
          <w:p>
            <w:pPr>
              <w:jc w:val="center"/>
              <w:rPr>
                <w:rFonts w:hint="eastAsia" w:ascii="宋体" w:hAnsi="宋体"/>
                <w:color w:val="000000"/>
                <w:kern w:val="0"/>
                <w:sz w:val="22"/>
                <w:szCs w:val="22"/>
              </w:rPr>
            </w:pPr>
          </w:p>
        </w:tc>
        <w:tc>
          <w:tcPr>
            <w:tcW w:w="2229"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会计基本技能</w:t>
            </w:r>
          </w:p>
        </w:tc>
        <w:tc>
          <w:tcPr>
            <w:tcW w:w="535" w:type="dxa"/>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查</w:t>
            </w:r>
          </w:p>
        </w:tc>
        <w:tc>
          <w:tcPr>
            <w:tcW w:w="447" w:type="dxa"/>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实</w:t>
            </w:r>
          </w:p>
        </w:tc>
        <w:tc>
          <w:tcPr>
            <w:tcW w:w="1065" w:type="dxa"/>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6</w:t>
            </w:r>
          </w:p>
        </w:tc>
        <w:tc>
          <w:tcPr>
            <w:tcW w:w="656" w:type="dxa"/>
            <w:tcBorders>
              <w:top w:val="single" w:color="000000" w:sz="12" w:space="0"/>
              <w:left w:val="single" w:color="000000" w:sz="4" w:space="0"/>
              <w:bottom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108</w:t>
            </w:r>
          </w:p>
        </w:tc>
        <w:tc>
          <w:tcPr>
            <w:tcW w:w="477" w:type="dxa"/>
            <w:tcBorders>
              <w:top w:val="single" w:color="000000" w:sz="12"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550" w:type="dxa"/>
            <w:tcBorders>
              <w:top w:val="single" w:color="000000" w:sz="12"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6</w:t>
            </w:r>
          </w:p>
        </w:tc>
        <w:tc>
          <w:tcPr>
            <w:tcW w:w="652" w:type="dxa"/>
            <w:tcBorders>
              <w:top w:val="single" w:color="000000" w:sz="12"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53" w:type="dxa"/>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652" w:type="dxa"/>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08" w:type="dxa"/>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38" w:type="dxa"/>
            <w:tcBorders>
              <w:top w:val="single" w:color="000000" w:sz="12"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r>
      <w:tr>
        <w:tblPrEx>
          <w:tblLayout w:type="fixed"/>
          <w:tblCellMar>
            <w:top w:w="15" w:type="dxa"/>
            <w:left w:w="108" w:type="dxa"/>
            <w:bottom w:w="15" w:type="dxa"/>
            <w:right w:w="108" w:type="dxa"/>
          </w:tblCellMar>
        </w:tblPrEx>
        <w:trPr>
          <w:trHeight w:val="405" w:hRule="atLeast"/>
        </w:trPr>
        <w:tc>
          <w:tcPr>
            <w:tcW w:w="505" w:type="dxa"/>
            <w:vMerge w:val="continue"/>
            <w:tcBorders>
              <w:left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2229"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基础会计实训</w:t>
            </w:r>
          </w:p>
        </w:tc>
        <w:tc>
          <w:tcPr>
            <w:tcW w:w="535" w:type="dxa"/>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查</w:t>
            </w:r>
          </w:p>
        </w:tc>
        <w:tc>
          <w:tcPr>
            <w:tcW w:w="447" w:type="dxa"/>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实</w:t>
            </w:r>
          </w:p>
        </w:tc>
        <w:tc>
          <w:tcPr>
            <w:tcW w:w="1065" w:type="dxa"/>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56" w:type="dxa"/>
            <w:tcBorders>
              <w:top w:val="single" w:color="000000" w:sz="12" w:space="0"/>
              <w:left w:val="single" w:color="000000" w:sz="4" w:space="0"/>
              <w:bottom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72</w:t>
            </w:r>
          </w:p>
        </w:tc>
        <w:tc>
          <w:tcPr>
            <w:tcW w:w="477" w:type="dxa"/>
            <w:tcBorders>
              <w:top w:val="single" w:color="000000" w:sz="12"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550" w:type="dxa"/>
            <w:tcBorders>
              <w:top w:val="single" w:color="000000" w:sz="12"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52" w:type="dxa"/>
            <w:tcBorders>
              <w:top w:val="single" w:color="000000" w:sz="12"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w:t>
            </w:r>
          </w:p>
        </w:tc>
        <w:tc>
          <w:tcPr>
            <w:tcW w:w="652" w:type="dxa"/>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FF6600"/>
                <w:kern w:val="0"/>
                <w:sz w:val="22"/>
                <w:szCs w:val="22"/>
              </w:rPr>
            </w:pPr>
          </w:p>
        </w:tc>
        <w:tc>
          <w:tcPr>
            <w:tcW w:w="608" w:type="dxa"/>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38" w:type="dxa"/>
            <w:tcBorders>
              <w:top w:val="single" w:color="000000" w:sz="12"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r>
      <w:tr>
        <w:tblPrEx>
          <w:tblLayout w:type="fixed"/>
          <w:tblCellMar>
            <w:top w:w="15" w:type="dxa"/>
            <w:left w:w="108" w:type="dxa"/>
            <w:bottom w:w="15" w:type="dxa"/>
            <w:right w:w="108" w:type="dxa"/>
          </w:tblCellMar>
        </w:tblPrEx>
        <w:trPr>
          <w:trHeight w:val="405" w:hRule="atLeast"/>
        </w:trPr>
        <w:tc>
          <w:tcPr>
            <w:tcW w:w="505" w:type="dxa"/>
            <w:vMerge w:val="continue"/>
            <w:tcBorders>
              <w:left w:val="single" w:color="000000" w:sz="12" w:space="0"/>
              <w:right w:val="single" w:color="000000" w:sz="4" w:space="0"/>
            </w:tcBorders>
            <w:vAlign w:val="center"/>
          </w:tcPr>
          <w:p>
            <w:pPr>
              <w:widowControl/>
              <w:jc w:val="left"/>
              <w:rPr>
                <w:rFonts w:ascii="宋体" w:hAnsi="宋体"/>
                <w:color w:val="000000"/>
                <w:kern w:val="0"/>
                <w:sz w:val="22"/>
                <w:szCs w:val="22"/>
              </w:rPr>
            </w:pPr>
          </w:p>
        </w:tc>
        <w:tc>
          <w:tcPr>
            <w:tcW w:w="22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出纳岗位实训</w:t>
            </w:r>
          </w:p>
        </w:tc>
        <w:tc>
          <w:tcPr>
            <w:tcW w:w="53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查</w:t>
            </w:r>
          </w:p>
        </w:tc>
        <w:tc>
          <w:tcPr>
            <w:tcW w:w="4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实</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56" w:type="dxa"/>
            <w:tcBorders>
              <w:top w:val="single" w:color="000000" w:sz="4" w:space="0"/>
              <w:left w:val="single" w:color="000000" w:sz="4" w:space="0"/>
              <w:bottom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72</w:t>
            </w:r>
          </w:p>
        </w:tc>
        <w:tc>
          <w:tcPr>
            <w:tcW w:w="477"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550" w:type="dxa"/>
            <w:tcBorders>
              <w:top w:val="single" w:color="000000" w:sz="4"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52"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FF6600"/>
                <w:kern w:val="0"/>
                <w:sz w:val="22"/>
                <w:szCs w:val="22"/>
              </w:rPr>
            </w:pPr>
          </w:p>
        </w:tc>
        <w:tc>
          <w:tcPr>
            <w:tcW w:w="6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38" w:type="dxa"/>
            <w:tcBorders>
              <w:top w:val="single" w:color="000000" w:sz="4"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r>
      <w:tr>
        <w:tblPrEx>
          <w:tblLayout w:type="fixed"/>
          <w:tblCellMar>
            <w:top w:w="15" w:type="dxa"/>
            <w:left w:w="108" w:type="dxa"/>
            <w:bottom w:w="15" w:type="dxa"/>
            <w:right w:w="108" w:type="dxa"/>
          </w:tblCellMar>
        </w:tblPrEx>
        <w:trPr>
          <w:trHeight w:val="405" w:hRule="atLeast"/>
        </w:trPr>
        <w:tc>
          <w:tcPr>
            <w:tcW w:w="505" w:type="dxa"/>
            <w:vMerge w:val="continue"/>
            <w:tcBorders>
              <w:left w:val="single" w:color="000000" w:sz="12" w:space="0"/>
              <w:right w:val="single" w:color="000000" w:sz="4" w:space="0"/>
            </w:tcBorders>
            <w:vAlign w:val="center"/>
          </w:tcPr>
          <w:p>
            <w:pPr>
              <w:widowControl/>
              <w:jc w:val="left"/>
              <w:rPr>
                <w:rFonts w:ascii="宋体" w:hAnsi="宋体"/>
                <w:color w:val="000000"/>
                <w:kern w:val="0"/>
                <w:sz w:val="22"/>
                <w:szCs w:val="22"/>
              </w:rPr>
            </w:pPr>
          </w:p>
        </w:tc>
        <w:tc>
          <w:tcPr>
            <w:tcW w:w="2229"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企业会计综合实训</w:t>
            </w:r>
          </w:p>
        </w:tc>
        <w:tc>
          <w:tcPr>
            <w:tcW w:w="535" w:type="dxa"/>
            <w:tcBorders>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查</w:t>
            </w:r>
          </w:p>
        </w:tc>
        <w:tc>
          <w:tcPr>
            <w:tcW w:w="44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实</w:t>
            </w:r>
          </w:p>
        </w:tc>
        <w:tc>
          <w:tcPr>
            <w:tcW w:w="1065"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56" w:type="dxa"/>
            <w:tcBorders>
              <w:top w:val="single" w:color="000000" w:sz="4" w:space="0"/>
              <w:left w:val="single" w:color="000000" w:sz="4" w:space="0"/>
              <w:bottom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72</w:t>
            </w:r>
          </w:p>
        </w:tc>
        <w:tc>
          <w:tcPr>
            <w:tcW w:w="477"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550" w:type="dxa"/>
            <w:tcBorders>
              <w:top w:val="single" w:color="000000" w:sz="4"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52"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w:t>
            </w:r>
          </w:p>
        </w:tc>
        <w:tc>
          <w:tcPr>
            <w:tcW w:w="608"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38" w:type="dxa"/>
            <w:tcBorders>
              <w:top w:val="single" w:color="000000" w:sz="4" w:space="0"/>
              <w:left w:val="single" w:color="000000" w:sz="4" w:space="0"/>
              <w:bottom w:val="single" w:color="000000" w:sz="4" w:space="0"/>
              <w:right w:val="single" w:color="000000" w:sz="12" w:space="0"/>
            </w:tcBorders>
            <w:shd w:val="clear" w:color="auto" w:fill="FFFFFF"/>
            <w:vAlign w:val="center"/>
          </w:tcPr>
          <w:p>
            <w:pPr>
              <w:widowControl/>
              <w:jc w:val="center"/>
              <w:rPr>
                <w:rFonts w:ascii="宋体" w:hAnsi="宋体"/>
                <w:color w:val="000000"/>
                <w:kern w:val="0"/>
                <w:sz w:val="22"/>
                <w:szCs w:val="22"/>
              </w:rPr>
            </w:pPr>
          </w:p>
        </w:tc>
      </w:tr>
      <w:tr>
        <w:tblPrEx>
          <w:tblLayout w:type="fixed"/>
          <w:tblCellMar>
            <w:top w:w="15" w:type="dxa"/>
            <w:left w:w="108" w:type="dxa"/>
            <w:bottom w:w="15" w:type="dxa"/>
            <w:right w:w="108" w:type="dxa"/>
          </w:tblCellMar>
        </w:tblPrEx>
        <w:trPr>
          <w:trHeight w:val="405" w:hRule="atLeast"/>
        </w:trPr>
        <w:tc>
          <w:tcPr>
            <w:tcW w:w="505" w:type="dxa"/>
            <w:vMerge w:val="continue"/>
            <w:tcBorders>
              <w:left w:val="single" w:color="000000" w:sz="12" w:space="0"/>
              <w:bottom w:val="single" w:color="000000" w:sz="12" w:space="0"/>
              <w:right w:val="single" w:color="000000" w:sz="4" w:space="0"/>
            </w:tcBorders>
            <w:vAlign w:val="center"/>
          </w:tcPr>
          <w:p>
            <w:pPr>
              <w:widowControl/>
              <w:jc w:val="left"/>
              <w:rPr>
                <w:rFonts w:ascii="宋体" w:hAnsi="宋体"/>
                <w:color w:val="000000"/>
                <w:kern w:val="0"/>
                <w:sz w:val="22"/>
                <w:szCs w:val="22"/>
              </w:rPr>
            </w:pPr>
          </w:p>
        </w:tc>
        <w:tc>
          <w:tcPr>
            <w:tcW w:w="2229" w:type="dxa"/>
            <w:tcBorders>
              <w:top w:val="single" w:color="000000" w:sz="4" w:space="0"/>
              <w:left w:val="single" w:color="000000" w:sz="4" w:space="0"/>
              <w:bottom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财税一体化综合实训</w:t>
            </w:r>
          </w:p>
        </w:tc>
        <w:tc>
          <w:tcPr>
            <w:tcW w:w="535" w:type="dxa"/>
            <w:tcBorders>
              <w:top w:val="single" w:color="000000" w:sz="4" w:space="0"/>
              <w:left w:val="single" w:color="000000" w:sz="4" w:space="0"/>
              <w:bottom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查</w:t>
            </w:r>
          </w:p>
        </w:tc>
        <w:tc>
          <w:tcPr>
            <w:tcW w:w="447" w:type="dxa"/>
            <w:tcBorders>
              <w:top w:val="single" w:color="000000" w:sz="4" w:space="0"/>
              <w:left w:val="single" w:color="000000" w:sz="4" w:space="0"/>
              <w:bottom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实</w:t>
            </w:r>
          </w:p>
        </w:tc>
        <w:tc>
          <w:tcPr>
            <w:tcW w:w="1065" w:type="dxa"/>
            <w:tcBorders>
              <w:top w:val="single" w:color="000000" w:sz="4" w:space="0"/>
              <w:left w:val="single" w:color="000000" w:sz="4" w:space="0"/>
              <w:bottom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6</w:t>
            </w:r>
          </w:p>
        </w:tc>
        <w:tc>
          <w:tcPr>
            <w:tcW w:w="656" w:type="dxa"/>
            <w:tcBorders>
              <w:top w:val="single" w:color="000000" w:sz="4" w:space="0"/>
              <w:left w:val="single" w:color="000000" w:sz="4" w:space="0"/>
              <w:bottom w:val="single" w:color="000000" w:sz="12"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108</w:t>
            </w:r>
          </w:p>
        </w:tc>
        <w:tc>
          <w:tcPr>
            <w:tcW w:w="477" w:type="dxa"/>
            <w:tcBorders>
              <w:top w:val="single" w:color="000000" w:sz="4" w:space="0"/>
              <w:left w:val="single" w:color="000000" w:sz="12" w:space="0"/>
              <w:bottom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550" w:type="dxa"/>
            <w:tcBorders>
              <w:top w:val="single" w:color="000000" w:sz="4" w:space="0"/>
              <w:left w:val="single" w:color="000000" w:sz="4" w:space="0"/>
              <w:bottom w:val="single" w:color="000000" w:sz="12" w:space="0"/>
              <w:right w:val="single" w:color="000000" w:sz="12"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6</w:t>
            </w:r>
          </w:p>
        </w:tc>
        <w:tc>
          <w:tcPr>
            <w:tcW w:w="652" w:type="dxa"/>
            <w:tcBorders>
              <w:top w:val="single" w:color="000000" w:sz="4" w:space="0"/>
              <w:left w:val="single" w:color="000000" w:sz="12" w:space="0"/>
              <w:bottom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top w:val="single" w:color="000000" w:sz="4" w:space="0"/>
              <w:left w:val="single" w:color="000000" w:sz="4" w:space="0"/>
              <w:bottom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2" w:type="dxa"/>
            <w:tcBorders>
              <w:top w:val="single" w:color="000000" w:sz="4" w:space="0"/>
              <w:left w:val="single" w:color="000000" w:sz="4" w:space="0"/>
              <w:bottom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53" w:type="dxa"/>
            <w:tcBorders>
              <w:top w:val="single" w:color="000000" w:sz="4" w:space="0"/>
              <w:left w:val="single" w:color="000000" w:sz="4" w:space="0"/>
              <w:bottom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p>
        </w:tc>
        <w:tc>
          <w:tcPr>
            <w:tcW w:w="608" w:type="dxa"/>
            <w:tcBorders>
              <w:top w:val="single" w:color="000000" w:sz="4" w:space="0"/>
              <w:left w:val="single" w:color="000000" w:sz="4" w:space="0"/>
              <w:bottom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6</w:t>
            </w:r>
          </w:p>
        </w:tc>
        <w:tc>
          <w:tcPr>
            <w:tcW w:w="638" w:type="dxa"/>
            <w:tcBorders>
              <w:top w:val="single" w:color="000000" w:sz="4" w:space="0"/>
              <w:left w:val="single" w:color="000000" w:sz="4" w:space="0"/>
              <w:bottom w:val="single" w:color="000000" w:sz="12" w:space="0"/>
              <w:right w:val="single" w:color="000000" w:sz="12" w:space="0"/>
            </w:tcBorders>
            <w:shd w:val="clear" w:color="auto" w:fill="FFFFFF"/>
            <w:vAlign w:val="center"/>
          </w:tcPr>
          <w:p>
            <w:pPr>
              <w:widowControl/>
              <w:jc w:val="center"/>
              <w:rPr>
                <w:rFonts w:ascii="宋体" w:hAnsi="宋体"/>
                <w:color w:val="000000"/>
                <w:kern w:val="0"/>
                <w:sz w:val="22"/>
                <w:szCs w:val="22"/>
              </w:rPr>
            </w:pPr>
          </w:p>
        </w:tc>
      </w:tr>
      <w:tr>
        <w:tblPrEx>
          <w:tblLayout w:type="fixed"/>
          <w:tblCellMar>
            <w:top w:w="15" w:type="dxa"/>
            <w:left w:w="108" w:type="dxa"/>
            <w:bottom w:w="15" w:type="dxa"/>
            <w:right w:w="108" w:type="dxa"/>
          </w:tblCellMar>
        </w:tblPrEx>
        <w:trPr>
          <w:trHeight w:val="405" w:hRule="atLeast"/>
        </w:trPr>
        <w:tc>
          <w:tcPr>
            <w:tcW w:w="2734" w:type="dxa"/>
            <w:gridSpan w:val="2"/>
            <w:tcBorders>
              <w:top w:val="single" w:color="000000" w:sz="4" w:space="0"/>
              <w:left w:val="single" w:color="000000" w:sz="12" w:space="0"/>
              <w:bottom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合计</w:t>
            </w:r>
          </w:p>
        </w:tc>
        <w:tc>
          <w:tcPr>
            <w:tcW w:w="535" w:type="dxa"/>
            <w:tcBorders>
              <w:top w:val="single" w:color="000000" w:sz="4" w:space="0"/>
              <w:left w:val="single" w:color="000000" w:sz="4" w:space="0"/>
              <w:bottom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w:t>
            </w:r>
          </w:p>
        </w:tc>
        <w:tc>
          <w:tcPr>
            <w:tcW w:w="447" w:type="dxa"/>
            <w:tcBorders>
              <w:top w:val="single" w:color="000000" w:sz="4" w:space="0"/>
              <w:left w:val="single" w:color="000000" w:sz="4" w:space="0"/>
              <w:bottom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w:t>
            </w:r>
          </w:p>
        </w:tc>
        <w:tc>
          <w:tcPr>
            <w:tcW w:w="1065" w:type="dxa"/>
            <w:tcBorders>
              <w:top w:val="single" w:color="000000" w:sz="4" w:space="0"/>
              <w:left w:val="single" w:color="000000" w:sz="4" w:space="0"/>
              <w:bottom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162</w:t>
            </w:r>
          </w:p>
        </w:tc>
        <w:tc>
          <w:tcPr>
            <w:tcW w:w="656" w:type="dxa"/>
            <w:tcBorders>
              <w:top w:val="single" w:color="000000" w:sz="4" w:space="0"/>
              <w:left w:val="single" w:color="000000" w:sz="4" w:space="0"/>
              <w:bottom w:val="single" w:color="000000" w:sz="12"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2844</w:t>
            </w:r>
          </w:p>
        </w:tc>
        <w:tc>
          <w:tcPr>
            <w:tcW w:w="477" w:type="dxa"/>
            <w:tcBorders>
              <w:top w:val="single" w:color="000000" w:sz="4" w:space="0"/>
              <w:left w:val="single" w:color="000000" w:sz="12" w:space="0"/>
              <w:bottom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64</w:t>
            </w:r>
          </w:p>
        </w:tc>
        <w:tc>
          <w:tcPr>
            <w:tcW w:w="550" w:type="dxa"/>
            <w:tcBorders>
              <w:top w:val="single" w:color="000000" w:sz="4" w:space="0"/>
              <w:left w:val="single" w:color="000000" w:sz="4" w:space="0"/>
              <w:bottom w:val="single" w:color="000000" w:sz="12" w:space="0"/>
              <w:right w:val="single" w:color="000000" w:sz="12"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48</w:t>
            </w:r>
          </w:p>
        </w:tc>
        <w:tc>
          <w:tcPr>
            <w:tcW w:w="652" w:type="dxa"/>
            <w:tcBorders>
              <w:top w:val="single" w:color="000000" w:sz="4" w:space="0"/>
              <w:left w:val="single" w:color="000000" w:sz="12" w:space="0"/>
              <w:bottom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28</w:t>
            </w:r>
          </w:p>
        </w:tc>
        <w:tc>
          <w:tcPr>
            <w:tcW w:w="653" w:type="dxa"/>
            <w:tcBorders>
              <w:top w:val="single" w:color="000000" w:sz="4" w:space="0"/>
              <w:left w:val="single" w:color="000000" w:sz="12" w:space="0"/>
              <w:bottom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28</w:t>
            </w:r>
          </w:p>
        </w:tc>
        <w:tc>
          <w:tcPr>
            <w:tcW w:w="652" w:type="dxa"/>
            <w:tcBorders>
              <w:top w:val="single" w:color="000000" w:sz="4" w:space="0"/>
              <w:left w:val="single" w:color="000000" w:sz="12" w:space="0"/>
              <w:bottom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28</w:t>
            </w:r>
          </w:p>
        </w:tc>
        <w:tc>
          <w:tcPr>
            <w:tcW w:w="653" w:type="dxa"/>
            <w:tcBorders>
              <w:top w:val="single" w:color="000000" w:sz="4" w:space="0"/>
              <w:left w:val="single" w:color="000000" w:sz="12" w:space="0"/>
              <w:bottom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28</w:t>
            </w:r>
          </w:p>
        </w:tc>
        <w:tc>
          <w:tcPr>
            <w:tcW w:w="608" w:type="dxa"/>
            <w:tcBorders>
              <w:top w:val="single" w:color="000000" w:sz="4" w:space="0"/>
              <w:left w:val="single" w:color="000000" w:sz="12" w:space="0"/>
              <w:bottom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28</w:t>
            </w:r>
          </w:p>
        </w:tc>
        <w:tc>
          <w:tcPr>
            <w:tcW w:w="638" w:type="dxa"/>
            <w:tcBorders>
              <w:top w:val="single" w:color="000000" w:sz="4" w:space="0"/>
              <w:left w:val="single" w:color="000000" w:sz="12" w:space="0"/>
              <w:bottom w:val="single" w:color="000000" w:sz="12" w:space="0"/>
              <w:right w:val="single" w:color="000000" w:sz="4" w:space="0"/>
            </w:tcBorders>
            <w:shd w:val="clear" w:color="auto" w:fill="FFFFFF"/>
            <w:vAlign w:val="center"/>
          </w:tcPr>
          <w:p>
            <w:pPr>
              <w:widowControl/>
              <w:jc w:val="center"/>
              <w:rPr>
                <w:rFonts w:ascii="宋体" w:hAnsi="宋体"/>
                <w:color w:val="000000"/>
                <w:kern w:val="0"/>
                <w:sz w:val="22"/>
                <w:szCs w:val="22"/>
              </w:rPr>
            </w:pPr>
            <w:r>
              <w:rPr>
                <w:rFonts w:hint="eastAsia" w:ascii="宋体" w:hAnsi="宋体"/>
                <w:color w:val="000000"/>
                <w:kern w:val="0"/>
                <w:sz w:val="22"/>
                <w:szCs w:val="22"/>
              </w:rPr>
              <w:t>20</w:t>
            </w:r>
          </w:p>
        </w:tc>
      </w:tr>
    </w:tbl>
    <w:p>
      <w:pPr>
        <w:widowControl/>
        <w:spacing w:line="360" w:lineRule="auto"/>
        <w:jc w:val="left"/>
        <w:rPr>
          <w:rFonts w:hint="eastAsia" w:ascii="黑体" w:hAnsi="黑体" w:eastAsia="黑体"/>
          <w:kern w:val="0"/>
          <w:sz w:val="32"/>
          <w:szCs w:val="32"/>
        </w:rPr>
      </w:pPr>
      <w:r>
        <w:rPr>
          <w:rFonts w:hint="eastAsia" w:ascii="黑体" w:hAnsi="黑体" w:eastAsia="黑体"/>
          <w:kern w:val="0"/>
          <w:sz w:val="32"/>
          <w:szCs w:val="32"/>
        </w:rPr>
        <w:t>十一、教学实施</w:t>
      </w:r>
    </w:p>
    <w:p>
      <w:pPr>
        <w:pStyle w:val="8"/>
        <w:widowControl/>
        <w:numPr>
          <w:ilvl w:val="0"/>
          <w:numId w:val="3"/>
        </w:numPr>
        <w:spacing w:line="360" w:lineRule="auto"/>
        <w:ind w:firstLineChars="0"/>
        <w:jc w:val="left"/>
        <w:rPr>
          <w:rFonts w:hint="eastAsia" w:ascii="黑体" w:hAnsi="黑体" w:eastAsia="黑体"/>
          <w:kern w:val="0"/>
          <w:sz w:val="32"/>
          <w:szCs w:val="32"/>
        </w:rPr>
      </w:pPr>
      <w:r>
        <w:rPr>
          <w:rFonts w:hint="eastAsia" w:ascii="宋体" w:hAnsi="宋体"/>
          <w:kern w:val="0"/>
          <w:sz w:val="24"/>
          <w:szCs w:val="24"/>
        </w:rPr>
        <w:t>构建“就业导向，能力本位，三维渗透”的中职人才培养模式</w:t>
      </w:r>
    </w:p>
    <w:p>
      <w:pPr>
        <w:widowControl/>
        <w:spacing w:line="360" w:lineRule="auto"/>
        <w:ind w:firstLine="480" w:firstLineChars="200"/>
        <w:jc w:val="left"/>
        <w:rPr>
          <w:rFonts w:hint="eastAsia" w:ascii="黑体" w:hAnsi="黑体" w:eastAsia="黑体"/>
          <w:kern w:val="0"/>
          <w:sz w:val="32"/>
          <w:szCs w:val="32"/>
        </w:rPr>
      </w:pPr>
      <w:r>
        <w:rPr>
          <w:rFonts w:hint="eastAsia" w:ascii="宋体" w:hAnsi="宋体"/>
          <w:kern w:val="0"/>
          <w:sz w:val="24"/>
          <w:szCs w:val="24"/>
        </w:rPr>
        <w:t>构建理论教学、实践教学和综合素质养成三大培养体系。经过改革与创新，要把传统的以理论教学为主的培养体系，整合改造为理论教学、实践教学和综合素质养成三大培养体系，通过渗透与融合实现对人才的全面打造。（1）精要、实用的理论教学体系；（2）以能力为主导的实践教学体系；（3）全方位渗透的综合素质养成体系。</w:t>
      </w:r>
    </w:p>
    <w:p>
      <w:pPr>
        <w:widowControl/>
        <w:spacing w:line="360" w:lineRule="auto"/>
        <w:jc w:val="left"/>
        <w:rPr>
          <w:rFonts w:hint="eastAsia" w:ascii="宋体" w:hAnsi="宋体"/>
          <w:kern w:val="0"/>
          <w:sz w:val="24"/>
          <w:szCs w:val="24"/>
        </w:rPr>
      </w:pPr>
      <w:r>
        <w:rPr>
          <w:rFonts w:hint="eastAsia" w:ascii="宋体" w:hAnsi="宋体"/>
          <w:kern w:val="0"/>
          <w:sz w:val="24"/>
          <w:szCs w:val="24"/>
        </w:rPr>
        <w:t>2、设以基本素质为支撑的、职业技能为本位的“四大模块”课程体系</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以培养目标为依据，科学地进行课程分类。课程设置包括四大模块：（1）基本素质模块：德育课、文化课；（2）职业能力模块：专业主干课（按照所需的主要职业技能设置），本专业确定为13门，并构成课程体系的主体部分；（3）实训模块：专项训练与综合实训；（4）实习模块：顶岗实习。</w:t>
      </w:r>
    </w:p>
    <w:p>
      <w:pPr>
        <w:widowControl/>
        <w:spacing w:line="360" w:lineRule="auto"/>
        <w:jc w:val="left"/>
        <w:rPr>
          <w:rFonts w:hint="eastAsia" w:ascii="宋体" w:hAnsi="宋体"/>
          <w:kern w:val="0"/>
          <w:sz w:val="24"/>
          <w:szCs w:val="24"/>
        </w:rPr>
      </w:pPr>
      <w:r>
        <w:rPr>
          <w:rFonts w:hint="eastAsia" w:ascii="宋体" w:hAnsi="宋体"/>
          <w:kern w:val="0"/>
          <w:sz w:val="24"/>
          <w:szCs w:val="24"/>
        </w:rPr>
        <w:t>3、“双元强化”为基本形式的教学模式。探索教学方式的创新，创立学生参与、能力主导的教学模式</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1）实行分类教学。根据课程类型，可以选择四种不同的教学方式：①“双元强化式”教学方式，如对专业主干课实行大课时、能力主导、理论教学与实训双元强化；②“自学辅导式”，如对部分基本素质课实行由发给教学大纲、教师精要辅导、学生自学、考前答疑等环节构成的“自学辅导式”教学方式；③“强化训练式”，如对外语、计算机、会计电算化等课程，尽可能地减少课堂讲授的比重，采用以强化训练为主的方式进行教学，并根据目标需要，实行“双元目标、分流教学”；④“精讲•实践式”教学方式，如实训课程要做到教师精讲，保证学生有足够的时间参与实践。</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（2）以调动学生积极性为核心，构建现代课堂。</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（3）加强信息化教学手段建设。</w:t>
      </w:r>
    </w:p>
    <w:p>
      <w:pPr>
        <w:widowControl/>
        <w:spacing w:line="360" w:lineRule="auto"/>
        <w:jc w:val="left"/>
        <w:rPr>
          <w:rFonts w:hint="eastAsia" w:ascii="宋体" w:hAnsi="宋体"/>
          <w:kern w:val="0"/>
          <w:sz w:val="24"/>
          <w:szCs w:val="24"/>
        </w:rPr>
      </w:pPr>
      <w:r>
        <w:rPr>
          <w:rFonts w:hint="eastAsia" w:ascii="宋体" w:hAnsi="宋体"/>
          <w:kern w:val="0"/>
          <w:sz w:val="24"/>
          <w:szCs w:val="24"/>
        </w:rPr>
        <w:t>4、全方位、立体化、渗透式的综合素质养成体系</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（1）目标：促进学生的全面发展。</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（2）系统特征：全方位、立体化、渗透性。</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3）基本内容：思想道德修养；文明礼貌与组织纪律性；吃苦精神与坚强毅力；历史、社会与科技知识；职业意识与职业常识与职业技能；观察力、分析力、创新力与解决问题的能力；交际、沟通（表达）、合作与管理的能力；学习与发展能力。</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（4）基本途径：课堂教学；专题讲座；阅读与测试；训练、社团活动。</w:t>
      </w:r>
    </w:p>
    <w:p>
      <w:pPr>
        <w:widowControl/>
        <w:spacing w:line="360" w:lineRule="auto"/>
        <w:jc w:val="left"/>
        <w:rPr>
          <w:rFonts w:hint="eastAsia" w:ascii="宋体" w:hAnsi="宋体"/>
          <w:kern w:val="0"/>
          <w:sz w:val="24"/>
          <w:szCs w:val="24"/>
        </w:rPr>
      </w:pPr>
      <w:r>
        <w:rPr>
          <w:rFonts w:hint="eastAsia" w:ascii="宋体" w:hAnsi="宋体"/>
          <w:kern w:val="0"/>
          <w:sz w:val="24"/>
          <w:szCs w:val="24"/>
        </w:rPr>
        <w:t>5、“2.5+0.5”模式的实行</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即将课程教学压缩为二年半，实行第六学期实习制。</w:t>
      </w:r>
    </w:p>
    <w:p>
      <w:pPr>
        <w:widowControl/>
        <w:spacing w:line="360" w:lineRule="auto"/>
        <w:rPr>
          <w:rFonts w:hint="eastAsia" w:ascii="黑体" w:hAnsi="黑体" w:eastAsia="黑体"/>
          <w:kern w:val="0"/>
          <w:sz w:val="32"/>
          <w:szCs w:val="32"/>
        </w:rPr>
      </w:pPr>
      <w:r>
        <w:rPr>
          <w:rFonts w:hint="eastAsia" w:ascii="黑体" w:hAnsi="黑体" w:eastAsia="黑体"/>
          <w:kern w:val="0"/>
          <w:sz w:val="32"/>
          <w:szCs w:val="32"/>
        </w:rPr>
        <w:t>十二、教学评价</w:t>
      </w:r>
    </w:p>
    <w:p>
      <w:pPr>
        <w:widowControl/>
        <w:spacing w:line="360" w:lineRule="auto"/>
        <w:ind w:firstLine="480" w:firstLineChars="200"/>
        <w:jc w:val="left"/>
        <w:rPr>
          <w:rFonts w:ascii="宋体" w:hAnsi="宋体"/>
          <w:kern w:val="0"/>
          <w:sz w:val="24"/>
          <w:szCs w:val="24"/>
        </w:rPr>
      </w:pPr>
      <w:r>
        <w:rPr>
          <w:rFonts w:hint="eastAsia" w:ascii="宋体" w:hAnsi="宋体"/>
          <w:kern w:val="0"/>
          <w:sz w:val="24"/>
          <w:szCs w:val="24"/>
        </w:rPr>
        <w:t>为了巩固学生所学的知识，检查教学效果，提高教学质量，必须认真进行考核。课程的考核分考试、考查两种。考核成绩为学生是否准予毕业的重要依据。</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考试科目如下：语文、数学、英语、基础会计、财务会计、成本会计、初级会计实务、纳税会计、统计基础、会计电算化、财经法规与职业道德、市场营销、经济法基础。每学期期末进行考试，实行百分制。学习成绩是根据学生期末考试成绩、期中考试成绩和平时成绩（包括平时考勤、完成实验、课外作业、课堂讨论、平时测验等）综合评定。基本原则：期末考试成绩占50%，平时成绩占30%，期中考试成绩占20%，；未进行期中考试的课程，期末考试成绩占70%，平时成绩占30%。</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考查科目如下：体育与健康、职业道德与法律、经济政治与社会、哲学与人生、职业生涯规划、会计基本技能、企业管理、市场营销、计算机应用基础、基础会计实训、出纳岗位实训、企业会计综合实训、财税一体化综合实训、商务礼仪等。每学期末进行考查，也实行百分制。学习成绩根据平时成绩和阶段性测验成绩综合评定。平时成绩可根据学生出勤、听课、作业、课堂讨论等情况评定，一般测验成绩占总成绩的60%，平时成绩占40%（出勤为20%、听课、作业、课堂讨论等为20%）。</w:t>
      </w:r>
    </w:p>
    <w:p>
      <w:pPr>
        <w:widowControl/>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实习成绩考核，采取个人小结，班组评议，实习单位、辅导老师评定的方法进行。实习成绩分四个等级：优秀，合格，不合格。</w:t>
      </w:r>
    </w:p>
    <w:p>
      <w:pPr>
        <w:widowControl/>
        <w:spacing w:line="360" w:lineRule="auto"/>
        <w:jc w:val="left"/>
        <w:rPr>
          <w:rFonts w:hint="eastAsia" w:ascii="黑体" w:hAnsi="黑体" w:eastAsia="黑体"/>
          <w:kern w:val="0"/>
          <w:sz w:val="32"/>
          <w:szCs w:val="32"/>
        </w:rPr>
      </w:pPr>
      <w:r>
        <w:rPr>
          <w:rFonts w:hint="eastAsia" w:ascii="黑体" w:hAnsi="黑体" w:eastAsia="黑体"/>
          <w:kern w:val="0"/>
          <w:sz w:val="32"/>
          <w:szCs w:val="32"/>
        </w:rPr>
        <w:t>十三、实训实习环境</w:t>
      </w:r>
    </w:p>
    <w:p>
      <w:pPr>
        <w:spacing w:line="360" w:lineRule="auto"/>
        <w:ind w:firstLine="480" w:firstLineChars="200"/>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本专业应配备校内实习室和校外实训基地。</w:t>
      </w:r>
    </w:p>
    <w:p>
      <w:pPr>
        <w:spacing w:line="360" w:lineRule="auto"/>
        <w:ind w:firstLine="480" w:firstLineChars="200"/>
        <w:rPr>
          <w:sz w:val="24"/>
          <w:szCs w:val="24"/>
        </w:rPr>
      </w:pPr>
      <w:r>
        <w:rPr>
          <w:rFonts w:hint="eastAsia"/>
          <w:sz w:val="24"/>
          <w:szCs w:val="24"/>
        </w:rPr>
        <w:t>1、校内实训基地：建立财税一体化会计模拟实验室和会计电算化模拟实验室。学生在学习专业课时，可以在模拟室中对会计业务活动的基本业务流程进行仿真模拟，把理论与实践很好地结合起来，提高学生的实践能力，达到本专业培养目标的要求。</w:t>
      </w:r>
    </w:p>
    <w:p>
      <w:pPr>
        <w:spacing w:line="360" w:lineRule="auto"/>
        <w:ind w:firstLine="480" w:firstLineChars="200"/>
        <w:rPr>
          <w:rFonts w:hint="eastAsia"/>
          <w:sz w:val="24"/>
          <w:szCs w:val="24"/>
        </w:rPr>
      </w:pPr>
      <w:r>
        <w:rPr>
          <w:rFonts w:hint="eastAsia"/>
          <w:sz w:val="24"/>
          <w:szCs w:val="24"/>
        </w:rPr>
        <w:t>2、产教结合的具体形式：积极与企业联合，鼓励教师和学生到实习单位实习，运用所学的知识，为企业建立和完善会计工作电算化提供咨询服务；聘请知名企业人士到我校为学生讲课指导。</w:t>
      </w:r>
    </w:p>
    <w:p>
      <w:pPr>
        <w:widowControl/>
        <w:spacing w:before="100" w:beforeAutospacing="1" w:after="100" w:afterAutospacing="1" w:line="360" w:lineRule="auto"/>
        <w:ind w:firstLine="3132" w:firstLineChars="1300"/>
        <w:jc w:val="left"/>
        <w:rPr>
          <w:rFonts w:ascii="宋体" w:hAnsi="宋体"/>
          <w:b/>
          <w:kern w:val="0"/>
          <w:sz w:val="24"/>
          <w:szCs w:val="24"/>
        </w:rPr>
      </w:pPr>
      <w:r>
        <w:rPr>
          <w:rFonts w:hint="eastAsia" w:ascii="宋体" w:hAnsi="宋体"/>
          <w:b/>
          <w:kern w:val="0"/>
          <w:sz w:val="24"/>
          <w:szCs w:val="24"/>
        </w:rPr>
        <w:t>技能训练项目安排表</w:t>
      </w:r>
    </w:p>
    <w:tbl>
      <w:tblPr>
        <w:tblStyle w:val="5"/>
        <w:tblW w:w="98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2723"/>
        <w:gridCol w:w="1155"/>
        <w:gridCol w:w="816"/>
        <w:gridCol w:w="1003"/>
        <w:gridCol w:w="1446"/>
        <w:gridCol w:w="18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6" w:hRule="atLeast"/>
          <w:jc w:val="center"/>
        </w:trPr>
        <w:tc>
          <w:tcPr>
            <w:tcW w:w="821"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宋体" w:hAnsi="宋体" w:cs="Arial"/>
                <w:kern w:val="0"/>
                <w:sz w:val="24"/>
                <w:szCs w:val="24"/>
              </w:rPr>
            </w:pPr>
            <w:r>
              <w:rPr>
                <w:rFonts w:hint="eastAsia" w:ascii="宋体" w:hAnsi="宋体"/>
                <w:kern w:val="0"/>
                <w:sz w:val="24"/>
                <w:szCs w:val="24"/>
              </w:rPr>
              <w:t>序号</w:t>
            </w:r>
          </w:p>
        </w:tc>
        <w:tc>
          <w:tcPr>
            <w:tcW w:w="2723"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cs="Arial"/>
                <w:kern w:val="0"/>
                <w:sz w:val="24"/>
                <w:szCs w:val="24"/>
              </w:rPr>
            </w:pPr>
            <w:r>
              <w:rPr>
                <w:rFonts w:hint="eastAsia" w:ascii="宋体" w:hAnsi="宋体"/>
                <w:kern w:val="0"/>
                <w:sz w:val="24"/>
                <w:szCs w:val="24"/>
              </w:rPr>
              <w:t>技能训练项目名称</w:t>
            </w:r>
          </w:p>
        </w:tc>
        <w:tc>
          <w:tcPr>
            <w:tcW w:w="11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cs="Arial"/>
                <w:kern w:val="0"/>
                <w:sz w:val="24"/>
                <w:szCs w:val="24"/>
              </w:rPr>
            </w:pPr>
            <w:r>
              <w:rPr>
                <w:rFonts w:hint="eastAsia" w:ascii="宋体" w:hAnsi="宋体"/>
                <w:kern w:val="0"/>
                <w:sz w:val="24"/>
                <w:szCs w:val="24"/>
              </w:rPr>
              <w:t>课时数</w:t>
            </w:r>
          </w:p>
        </w:tc>
        <w:tc>
          <w:tcPr>
            <w:tcW w:w="81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cs="Arial"/>
                <w:kern w:val="0"/>
                <w:sz w:val="24"/>
                <w:szCs w:val="24"/>
              </w:rPr>
            </w:pPr>
            <w:r>
              <w:rPr>
                <w:rFonts w:hint="eastAsia" w:ascii="宋体" w:hAnsi="宋体"/>
                <w:kern w:val="0"/>
                <w:sz w:val="24"/>
                <w:szCs w:val="24"/>
              </w:rPr>
              <w:t>学期</w:t>
            </w:r>
          </w:p>
        </w:tc>
        <w:tc>
          <w:tcPr>
            <w:tcW w:w="1003"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cs="Arial"/>
                <w:kern w:val="0"/>
                <w:sz w:val="24"/>
                <w:szCs w:val="24"/>
              </w:rPr>
            </w:pPr>
            <w:r>
              <w:rPr>
                <w:rFonts w:hint="eastAsia" w:ascii="宋体" w:hAnsi="宋体"/>
                <w:kern w:val="0"/>
                <w:sz w:val="24"/>
                <w:szCs w:val="24"/>
              </w:rPr>
              <w:t>校历周</w:t>
            </w:r>
          </w:p>
        </w:tc>
        <w:tc>
          <w:tcPr>
            <w:tcW w:w="144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cs="Arial"/>
                <w:kern w:val="0"/>
                <w:sz w:val="24"/>
                <w:szCs w:val="24"/>
              </w:rPr>
            </w:pPr>
            <w:r>
              <w:rPr>
                <w:rFonts w:hint="eastAsia" w:ascii="宋体" w:hAnsi="宋体"/>
                <w:kern w:val="0"/>
                <w:sz w:val="24"/>
                <w:szCs w:val="24"/>
              </w:rPr>
              <w:t>教学条件及设施</w:t>
            </w:r>
          </w:p>
        </w:tc>
        <w:tc>
          <w:tcPr>
            <w:tcW w:w="1837"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jc w:val="center"/>
              <w:rPr>
                <w:rFonts w:ascii="宋体" w:hAnsi="宋体" w:cs="Arial"/>
                <w:kern w:val="0"/>
                <w:sz w:val="24"/>
                <w:szCs w:val="24"/>
              </w:rPr>
            </w:pPr>
            <w:r>
              <w:rPr>
                <w:rFonts w:hint="eastAsia" w:ascii="宋体" w:hAnsi="宋体"/>
                <w:kern w:val="0"/>
                <w:sz w:val="24"/>
                <w:szCs w:val="24"/>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5" w:hRule="atLeast"/>
          <w:jc w:val="center"/>
        </w:trPr>
        <w:tc>
          <w:tcPr>
            <w:tcW w:w="821"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atLeast"/>
              <w:jc w:val="center"/>
              <w:rPr>
                <w:rFonts w:ascii="宋体" w:hAnsi="宋体" w:cs="Arial"/>
                <w:kern w:val="0"/>
                <w:sz w:val="24"/>
                <w:szCs w:val="24"/>
              </w:rPr>
            </w:pPr>
            <w:r>
              <w:rPr>
                <w:rFonts w:hint="eastAsia" w:ascii="宋体" w:hAnsi="宋体"/>
                <w:kern w:val="0"/>
                <w:sz w:val="24"/>
                <w:szCs w:val="24"/>
              </w:rPr>
              <w:t>1</w:t>
            </w:r>
          </w:p>
        </w:tc>
        <w:tc>
          <w:tcPr>
            <w:tcW w:w="2723"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atLeast"/>
              <w:jc w:val="center"/>
              <w:rPr>
                <w:rFonts w:ascii="宋体" w:hAnsi="宋体" w:cs="Arial"/>
                <w:kern w:val="0"/>
                <w:sz w:val="24"/>
                <w:szCs w:val="24"/>
              </w:rPr>
            </w:pPr>
            <w:r>
              <w:rPr>
                <w:rFonts w:hint="eastAsia" w:ascii="宋体" w:hAnsi="宋体"/>
                <w:kern w:val="0"/>
                <w:sz w:val="24"/>
                <w:szCs w:val="24"/>
              </w:rPr>
              <w:t>会计文字数字书写</w:t>
            </w:r>
          </w:p>
        </w:tc>
        <w:tc>
          <w:tcPr>
            <w:tcW w:w="11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atLeast"/>
              <w:jc w:val="center"/>
              <w:rPr>
                <w:rFonts w:ascii="宋体" w:hAnsi="宋体" w:cs="Arial"/>
                <w:kern w:val="0"/>
                <w:sz w:val="24"/>
                <w:szCs w:val="24"/>
              </w:rPr>
            </w:pPr>
            <w:r>
              <w:rPr>
                <w:rFonts w:hint="eastAsia" w:ascii="宋体" w:hAnsi="宋体"/>
                <w:kern w:val="0"/>
                <w:sz w:val="24"/>
                <w:szCs w:val="24"/>
              </w:rPr>
              <w:t>1</w:t>
            </w:r>
          </w:p>
        </w:tc>
        <w:tc>
          <w:tcPr>
            <w:tcW w:w="81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atLeast"/>
              <w:jc w:val="center"/>
              <w:rPr>
                <w:rFonts w:ascii="宋体" w:hAnsi="宋体" w:cs="Arial"/>
                <w:kern w:val="0"/>
                <w:sz w:val="24"/>
                <w:szCs w:val="24"/>
              </w:rPr>
            </w:pPr>
            <w:r>
              <w:rPr>
                <w:rFonts w:hint="eastAsia" w:ascii="宋体" w:hAnsi="宋体"/>
                <w:kern w:val="0"/>
                <w:sz w:val="24"/>
                <w:szCs w:val="24"/>
              </w:rPr>
              <w:t>1</w:t>
            </w:r>
          </w:p>
        </w:tc>
        <w:tc>
          <w:tcPr>
            <w:tcW w:w="1003"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atLeast"/>
              <w:jc w:val="center"/>
              <w:rPr>
                <w:rFonts w:ascii="宋体" w:hAnsi="宋体" w:cs="Arial"/>
                <w:kern w:val="0"/>
                <w:sz w:val="24"/>
                <w:szCs w:val="24"/>
              </w:rPr>
            </w:pPr>
            <w:r>
              <w:rPr>
                <w:rFonts w:hint="eastAsia" w:ascii="宋体" w:hAnsi="宋体"/>
                <w:kern w:val="0"/>
                <w:sz w:val="24"/>
                <w:szCs w:val="24"/>
              </w:rPr>
              <w:t>18</w:t>
            </w:r>
          </w:p>
        </w:tc>
        <w:tc>
          <w:tcPr>
            <w:tcW w:w="144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atLeast"/>
              <w:jc w:val="center"/>
              <w:rPr>
                <w:rFonts w:ascii="宋体" w:hAnsi="宋体" w:cs="Arial"/>
                <w:kern w:val="0"/>
                <w:sz w:val="24"/>
                <w:szCs w:val="24"/>
              </w:rPr>
            </w:pPr>
            <w:r>
              <w:rPr>
                <w:rFonts w:hint="eastAsia" w:ascii="宋体" w:hAnsi="宋体"/>
                <w:kern w:val="0"/>
                <w:sz w:val="24"/>
                <w:szCs w:val="24"/>
              </w:rPr>
              <w:t>专用练习纸</w:t>
            </w:r>
          </w:p>
        </w:tc>
        <w:tc>
          <w:tcPr>
            <w:tcW w:w="1837"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atLeast"/>
              <w:jc w:val="center"/>
              <w:rPr>
                <w:rFonts w:ascii="宋体" w:hAnsi="宋体" w:cs="Arial"/>
                <w:kern w:val="0"/>
                <w:sz w:val="24"/>
                <w:szCs w:val="24"/>
              </w:rPr>
            </w:pPr>
            <w:r>
              <w:rPr>
                <w:rFonts w:hint="eastAsia" w:ascii="宋体" w:hAnsi="宋体"/>
                <w:kern w:val="0"/>
                <w:sz w:val="24"/>
                <w:szCs w:val="24"/>
              </w:rPr>
              <w:t>手工实训室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4" w:hRule="atLeast"/>
          <w:jc w:val="center"/>
        </w:trPr>
        <w:tc>
          <w:tcPr>
            <w:tcW w:w="821"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2</w:t>
            </w:r>
          </w:p>
        </w:tc>
        <w:tc>
          <w:tcPr>
            <w:tcW w:w="2723"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珠算技术</w:t>
            </w:r>
          </w:p>
        </w:tc>
        <w:tc>
          <w:tcPr>
            <w:tcW w:w="11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2</w:t>
            </w:r>
          </w:p>
        </w:tc>
        <w:tc>
          <w:tcPr>
            <w:tcW w:w="81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1-2</w:t>
            </w:r>
          </w:p>
        </w:tc>
        <w:tc>
          <w:tcPr>
            <w:tcW w:w="1003"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18</w:t>
            </w:r>
          </w:p>
        </w:tc>
        <w:tc>
          <w:tcPr>
            <w:tcW w:w="144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珠算练习卷</w:t>
            </w:r>
          </w:p>
        </w:tc>
        <w:tc>
          <w:tcPr>
            <w:tcW w:w="1837"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教室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jc w:val="center"/>
        </w:trPr>
        <w:tc>
          <w:tcPr>
            <w:tcW w:w="821"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3</w:t>
            </w:r>
          </w:p>
        </w:tc>
        <w:tc>
          <w:tcPr>
            <w:tcW w:w="2723"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汉字录入数字录入</w:t>
            </w:r>
          </w:p>
        </w:tc>
        <w:tc>
          <w:tcPr>
            <w:tcW w:w="11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2</w:t>
            </w:r>
          </w:p>
        </w:tc>
        <w:tc>
          <w:tcPr>
            <w:tcW w:w="81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1-5</w:t>
            </w:r>
          </w:p>
        </w:tc>
        <w:tc>
          <w:tcPr>
            <w:tcW w:w="1003"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18</w:t>
            </w:r>
          </w:p>
        </w:tc>
        <w:tc>
          <w:tcPr>
            <w:tcW w:w="144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计算机</w:t>
            </w:r>
          </w:p>
        </w:tc>
        <w:tc>
          <w:tcPr>
            <w:tcW w:w="1837"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机房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4" w:hRule="atLeast"/>
          <w:jc w:val="center"/>
        </w:trPr>
        <w:tc>
          <w:tcPr>
            <w:tcW w:w="821"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4</w:t>
            </w:r>
          </w:p>
        </w:tc>
        <w:tc>
          <w:tcPr>
            <w:tcW w:w="2723"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点钞</w:t>
            </w:r>
          </w:p>
        </w:tc>
        <w:tc>
          <w:tcPr>
            <w:tcW w:w="11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1</w:t>
            </w:r>
          </w:p>
        </w:tc>
        <w:tc>
          <w:tcPr>
            <w:tcW w:w="81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3-5</w:t>
            </w:r>
          </w:p>
        </w:tc>
        <w:tc>
          <w:tcPr>
            <w:tcW w:w="1003"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18</w:t>
            </w:r>
          </w:p>
        </w:tc>
        <w:tc>
          <w:tcPr>
            <w:tcW w:w="144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练功卷</w:t>
            </w:r>
          </w:p>
        </w:tc>
        <w:tc>
          <w:tcPr>
            <w:tcW w:w="1837"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手工实训室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jc w:val="center"/>
        </w:trPr>
        <w:tc>
          <w:tcPr>
            <w:tcW w:w="821"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5</w:t>
            </w:r>
          </w:p>
        </w:tc>
        <w:tc>
          <w:tcPr>
            <w:tcW w:w="2723"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会计电算化</w:t>
            </w:r>
          </w:p>
        </w:tc>
        <w:tc>
          <w:tcPr>
            <w:tcW w:w="11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4</w:t>
            </w:r>
          </w:p>
        </w:tc>
        <w:tc>
          <w:tcPr>
            <w:tcW w:w="81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2-3</w:t>
            </w:r>
          </w:p>
        </w:tc>
        <w:tc>
          <w:tcPr>
            <w:tcW w:w="1003"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18</w:t>
            </w:r>
          </w:p>
        </w:tc>
        <w:tc>
          <w:tcPr>
            <w:tcW w:w="144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计算机、会计软件</w:t>
            </w:r>
          </w:p>
        </w:tc>
        <w:tc>
          <w:tcPr>
            <w:tcW w:w="1837"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专用机房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0" w:hRule="atLeast"/>
          <w:jc w:val="center"/>
        </w:trPr>
        <w:tc>
          <w:tcPr>
            <w:tcW w:w="821"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6</w:t>
            </w:r>
          </w:p>
        </w:tc>
        <w:tc>
          <w:tcPr>
            <w:tcW w:w="2723"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财税一体化综合实训</w:t>
            </w:r>
          </w:p>
        </w:tc>
        <w:tc>
          <w:tcPr>
            <w:tcW w:w="11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4</w:t>
            </w:r>
          </w:p>
        </w:tc>
        <w:tc>
          <w:tcPr>
            <w:tcW w:w="81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5</w:t>
            </w:r>
          </w:p>
        </w:tc>
        <w:tc>
          <w:tcPr>
            <w:tcW w:w="1003"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18</w:t>
            </w:r>
          </w:p>
        </w:tc>
        <w:tc>
          <w:tcPr>
            <w:tcW w:w="144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凭证、账簿</w:t>
            </w:r>
          </w:p>
        </w:tc>
        <w:tc>
          <w:tcPr>
            <w:tcW w:w="1837"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财税一体化实训室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4" w:hRule="atLeast"/>
          <w:jc w:val="center"/>
        </w:trPr>
        <w:tc>
          <w:tcPr>
            <w:tcW w:w="821"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7</w:t>
            </w:r>
          </w:p>
        </w:tc>
        <w:tc>
          <w:tcPr>
            <w:tcW w:w="2723"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240" w:lineRule="atLeast"/>
              <w:jc w:val="center"/>
              <w:rPr>
                <w:rFonts w:ascii="宋体" w:hAnsi="宋体" w:cs="Arial"/>
                <w:kern w:val="0"/>
                <w:sz w:val="24"/>
                <w:szCs w:val="24"/>
              </w:rPr>
            </w:pPr>
            <w:r>
              <w:rPr>
                <w:rFonts w:hint="eastAsia" w:ascii="宋体" w:hAnsi="宋体"/>
                <w:kern w:val="0"/>
                <w:sz w:val="24"/>
                <w:szCs w:val="24"/>
              </w:rPr>
              <w:t>毕业实习</w:t>
            </w:r>
          </w:p>
        </w:tc>
        <w:tc>
          <w:tcPr>
            <w:tcW w:w="1155"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30</w:t>
            </w:r>
          </w:p>
        </w:tc>
        <w:tc>
          <w:tcPr>
            <w:tcW w:w="81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6</w:t>
            </w:r>
          </w:p>
        </w:tc>
        <w:tc>
          <w:tcPr>
            <w:tcW w:w="1003"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18</w:t>
            </w:r>
          </w:p>
        </w:tc>
        <w:tc>
          <w:tcPr>
            <w:tcW w:w="1446"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p>
        </w:tc>
        <w:tc>
          <w:tcPr>
            <w:tcW w:w="1837" w:type="dxa"/>
            <w:tcBorders>
              <w:top w:val="single" w:color="auto" w:sz="4" w:space="0"/>
              <w:left w:val="nil"/>
              <w:bottom w:val="single" w:color="auto" w:sz="4" w:space="0"/>
              <w:right w:val="single" w:color="auto" w:sz="4" w:space="0"/>
            </w:tcBorders>
            <w:vAlign w:val="center"/>
          </w:tcPr>
          <w:p>
            <w:pPr>
              <w:widowControl/>
              <w:spacing w:before="100" w:beforeAutospacing="1" w:after="100" w:afterAutospacing="1" w:line="360" w:lineRule="exact"/>
              <w:jc w:val="center"/>
              <w:rPr>
                <w:rFonts w:ascii="宋体" w:hAnsi="宋体" w:cs="Arial"/>
                <w:kern w:val="0"/>
                <w:sz w:val="24"/>
                <w:szCs w:val="24"/>
              </w:rPr>
            </w:pPr>
            <w:r>
              <w:rPr>
                <w:rFonts w:hint="eastAsia" w:ascii="宋体" w:hAnsi="宋体"/>
                <w:kern w:val="0"/>
                <w:sz w:val="24"/>
                <w:szCs w:val="24"/>
              </w:rPr>
              <w:t>企业</w:t>
            </w:r>
          </w:p>
        </w:tc>
      </w:tr>
    </w:tbl>
    <w:p>
      <w:pPr>
        <w:widowControl/>
        <w:spacing w:line="360" w:lineRule="auto"/>
        <w:jc w:val="left"/>
        <w:rPr>
          <w:rFonts w:hint="eastAsia" w:ascii="黑体" w:hAnsi="黑体" w:eastAsia="黑体"/>
          <w:kern w:val="0"/>
          <w:sz w:val="32"/>
          <w:szCs w:val="32"/>
        </w:rPr>
      </w:pPr>
      <w:r>
        <w:rPr>
          <w:rFonts w:hint="eastAsia" w:ascii="黑体" w:hAnsi="黑体" w:eastAsia="黑体"/>
          <w:kern w:val="0"/>
          <w:sz w:val="32"/>
          <w:szCs w:val="32"/>
        </w:rPr>
        <w:t>十四、专业师资</w:t>
      </w:r>
    </w:p>
    <w:p>
      <w:pPr>
        <w:widowControl/>
        <w:spacing w:line="360" w:lineRule="auto"/>
        <w:ind w:firstLine="480" w:firstLineChars="200"/>
        <w:jc w:val="lef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本专业师资力量雄厚，教学经验丰富。共有教师23名，其中高级讲师13名，讲师8名，助理讲师2名。其中“双师型”教师15名。</w:t>
      </w:r>
    </w:p>
    <w:p>
      <w:pPr>
        <w:spacing w:beforeLines="50" w:afterLines="50"/>
        <w:rPr>
          <w:rFonts w:ascii="Times New Roman" w:hAnsi="Times New Roman" w:eastAsia="黑体"/>
          <w:kern w:val="44"/>
          <w:sz w:val="32"/>
          <w:szCs w:val="32"/>
        </w:rPr>
      </w:pPr>
      <w:r>
        <w:rPr>
          <w:rFonts w:hint="eastAsia" w:ascii="黑体" w:hAnsi="黑体" w:eastAsia="黑体"/>
          <w:kern w:val="0"/>
          <w:sz w:val="32"/>
          <w:szCs w:val="32"/>
        </w:rPr>
        <w:t>十五、</w:t>
      </w:r>
      <w:r>
        <w:rPr>
          <w:rFonts w:hint="eastAsia" w:ascii="黑体" w:hAnsi="黑体" w:eastAsia="黑体"/>
          <w:kern w:val="44"/>
          <w:sz w:val="32"/>
          <w:szCs w:val="32"/>
        </w:rPr>
        <w:t>毕业条件</w:t>
      </w:r>
    </w:p>
    <w:p>
      <w:pPr>
        <w:spacing w:line="360" w:lineRule="auto"/>
        <w:ind w:firstLine="480" w:firstLineChars="200"/>
        <w:rPr>
          <w:rFonts w:hint="eastAsia" w:ascii="黑体" w:hAnsi="Times New Roman"/>
          <w:sz w:val="24"/>
          <w:szCs w:val="24"/>
        </w:rPr>
      </w:pPr>
      <w:r>
        <w:rPr>
          <w:rFonts w:hint="eastAsia" w:ascii="宋体" w:hAnsi="宋体"/>
          <w:sz w:val="24"/>
          <w:szCs w:val="24"/>
        </w:rPr>
        <w:t>学生德育考核合格，且修完规定的课程，经考试考核合格准予毕业，颁发毕业证书。</w:t>
      </w:r>
    </w:p>
    <w:p>
      <w:pPr>
        <w:widowControl/>
        <w:spacing w:line="360" w:lineRule="auto"/>
        <w:jc w:val="left"/>
        <w:rPr>
          <w:rFonts w:hint="eastAsia" w:asciiTheme="minorEastAsia" w:hAnsiTheme="minorEastAsia" w:eastAsiaTheme="minorEastAsia"/>
          <w:kern w:val="0"/>
          <w:sz w:val="24"/>
          <w:szCs w:val="24"/>
        </w:rPr>
      </w:pPr>
    </w:p>
    <w:p>
      <w:pPr>
        <w:widowControl/>
        <w:spacing w:line="360" w:lineRule="auto"/>
        <w:jc w:val="left"/>
        <w:rPr>
          <w:rFonts w:hint="eastAsia" w:asciiTheme="minorEastAsia" w:hAnsiTheme="minorEastAsia" w:eastAsiaTheme="minorEastAsia"/>
          <w:kern w:val="0"/>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75CA2"/>
    <w:multiLevelType w:val="multilevel"/>
    <w:tmpl w:val="18175CA2"/>
    <w:lvl w:ilvl="0" w:tentative="0">
      <w:start w:val="1"/>
      <w:numFmt w:val="japaneseCounting"/>
      <w:lvlText w:val="（%1）"/>
      <w:lvlJc w:val="left"/>
      <w:pPr>
        <w:ind w:left="1080" w:hanging="1080"/>
      </w:pPr>
      <w:rPr>
        <w:rFonts w:hint="default"/>
      </w:rPr>
    </w:lvl>
    <w:lvl w:ilvl="1" w:tentative="0">
      <w:start w:val="4"/>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3E06262"/>
    <w:multiLevelType w:val="multilevel"/>
    <w:tmpl w:val="33E06262"/>
    <w:lvl w:ilvl="0" w:tentative="0">
      <w:start w:val="1"/>
      <w:numFmt w:val="decimal"/>
      <w:lvlText w:val="%1、"/>
      <w:lvlJc w:val="left"/>
      <w:pPr>
        <w:ind w:left="720" w:hanging="720"/>
      </w:pPr>
      <w:rPr>
        <w:rFonts w:hint="default" w:ascii="宋体" w:hAnsi="宋体" w:eastAsia="宋体"/>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10B4D82"/>
    <w:multiLevelType w:val="multilevel"/>
    <w:tmpl w:val="510B4D82"/>
    <w:lvl w:ilvl="0" w:tentative="0">
      <w:start w:val="1"/>
      <w:numFmt w:val="decimal"/>
      <w:lvlText w:val="%1、"/>
      <w:lvlJc w:val="left"/>
      <w:pPr>
        <w:ind w:left="644" w:hanging="360"/>
      </w:pPr>
      <w:rPr>
        <w:rFonts w:hint="default"/>
      </w:rPr>
    </w:lvl>
    <w:lvl w:ilvl="1" w:tentative="0">
      <w:start w:val="1"/>
      <w:numFmt w:val="lowerLetter"/>
      <w:lvlText w:val="%2)"/>
      <w:lvlJc w:val="left"/>
      <w:pPr>
        <w:ind w:left="1185" w:hanging="420"/>
      </w:pPr>
    </w:lvl>
    <w:lvl w:ilvl="2" w:tentative="0">
      <w:start w:val="1"/>
      <w:numFmt w:val="lowerRoman"/>
      <w:lvlText w:val="%3."/>
      <w:lvlJc w:val="right"/>
      <w:pPr>
        <w:ind w:left="1605" w:hanging="420"/>
      </w:pPr>
    </w:lvl>
    <w:lvl w:ilvl="3" w:tentative="0">
      <w:start w:val="1"/>
      <w:numFmt w:val="decimal"/>
      <w:lvlText w:val="%4."/>
      <w:lvlJc w:val="left"/>
      <w:pPr>
        <w:ind w:left="2025" w:hanging="420"/>
      </w:pPr>
    </w:lvl>
    <w:lvl w:ilvl="4" w:tentative="0">
      <w:start w:val="1"/>
      <w:numFmt w:val="lowerLetter"/>
      <w:lvlText w:val="%5)"/>
      <w:lvlJc w:val="left"/>
      <w:pPr>
        <w:ind w:left="2445" w:hanging="420"/>
      </w:pPr>
    </w:lvl>
    <w:lvl w:ilvl="5" w:tentative="0">
      <w:start w:val="1"/>
      <w:numFmt w:val="lowerRoman"/>
      <w:lvlText w:val="%6."/>
      <w:lvlJc w:val="right"/>
      <w:pPr>
        <w:ind w:left="2865" w:hanging="420"/>
      </w:pPr>
    </w:lvl>
    <w:lvl w:ilvl="6" w:tentative="0">
      <w:start w:val="1"/>
      <w:numFmt w:val="decimal"/>
      <w:lvlText w:val="%7."/>
      <w:lvlJc w:val="left"/>
      <w:pPr>
        <w:ind w:left="3285" w:hanging="420"/>
      </w:pPr>
    </w:lvl>
    <w:lvl w:ilvl="7" w:tentative="0">
      <w:start w:val="1"/>
      <w:numFmt w:val="lowerLetter"/>
      <w:lvlText w:val="%8)"/>
      <w:lvlJc w:val="left"/>
      <w:pPr>
        <w:ind w:left="3705" w:hanging="420"/>
      </w:pPr>
    </w:lvl>
    <w:lvl w:ilvl="8" w:tentative="0">
      <w:start w:val="1"/>
      <w:numFmt w:val="lowerRoman"/>
      <w:lvlText w:val="%9."/>
      <w:lvlJc w:val="right"/>
      <w:pPr>
        <w:ind w:left="4125"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10C4E"/>
    <w:rsid w:val="002F2C2B"/>
    <w:rsid w:val="003563E0"/>
    <w:rsid w:val="003A4FEA"/>
    <w:rsid w:val="00410C4E"/>
    <w:rsid w:val="004470AC"/>
    <w:rsid w:val="00467716"/>
    <w:rsid w:val="005370DA"/>
    <w:rsid w:val="00586559"/>
    <w:rsid w:val="00753AF5"/>
    <w:rsid w:val="008164EE"/>
    <w:rsid w:val="00874F87"/>
    <w:rsid w:val="00AD5DA5"/>
    <w:rsid w:val="00AF4487"/>
    <w:rsid w:val="00C017FA"/>
    <w:rsid w:val="00C1043A"/>
    <w:rsid w:val="00C6746A"/>
    <w:rsid w:val="00CC6037"/>
    <w:rsid w:val="00D914D2"/>
    <w:rsid w:val="00FE03E4"/>
    <w:rsid w:val="1F3150BD"/>
    <w:rsid w:val="25780C1D"/>
    <w:rsid w:val="3A765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_x0000_s1043"/>
        <o:r id="V:Rule2" type="connector" idref="#_x0000_s1044"/>
        <o:r id="V:Rule3" type="connector" idref="#_x0000_s1045"/>
        <o:r id="V:Rule4" type="connector" idref="#_x0000_s1046"/>
        <o:r id="V:Rule5" type="connector" idref="#_x0000_s1048"/>
        <o:r id="V:Rule6" type="connector" idref="#_x0000_s1059"/>
        <o:r id="V:Rule7" type="connector" idref="#_x0000_s1060"/>
        <o:r id="V:Rule8" type="connector" idref="#_x0000_s1061"/>
        <o:r id="V:Rule9" type="connector" idref="#_x0000_s1062"/>
        <o:r id="V:Rule10" type="connector" idref="#_x0000_s1063"/>
        <o:r id="V:Rule11" type="connector" idref="#_x0000_s1064"/>
        <o:r id="V:Rule12" type="connector" idref="#_x0000_s1065"/>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1"/>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6"/>
    <w:unhideWhenUsed/>
    <w:uiPriority w:val="99"/>
    <w:rPr>
      <w:rFonts w:ascii="宋体" w:hAnsi="Courier New" w:cs="Courier New"/>
    </w:rPr>
  </w:style>
  <w:style w:type="paragraph" w:styleId="3">
    <w:name w:val="Balloon Text"/>
    <w:basedOn w:val="1"/>
    <w:link w:val="7"/>
    <w:semiHidden/>
    <w:unhideWhenUsed/>
    <w:uiPriority w:val="99"/>
    <w:rPr>
      <w:sz w:val="18"/>
      <w:szCs w:val="18"/>
    </w:rPr>
  </w:style>
  <w:style w:type="character" w:customStyle="1" w:styleId="6">
    <w:name w:val="纯文本 Char"/>
    <w:basedOn w:val="4"/>
    <w:link w:val="2"/>
    <w:uiPriority w:val="99"/>
    <w:rPr>
      <w:rFonts w:ascii="宋体" w:hAnsi="Courier New" w:eastAsia="宋体" w:cs="Courier New"/>
      <w:szCs w:val="21"/>
    </w:rPr>
  </w:style>
  <w:style w:type="character" w:customStyle="1" w:styleId="7">
    <w:name w:val="批注框文本 Char"/>
    <w:basedOn w:val="4"/>
    <w:link w:val="3"/>
    <w:semiHidden/>
    <w:uiPriority w:val="99"/>
    <w:rPr>
      <w:rFonts w:ascii="Calibri" w:hAnsi="Calibri" w:eastAsia="宋体" w:cs="宋体"/>
      <w:sz w:val="18"/>
      <w:szCs w:val="18"/>
    </w:rPr>
  </w:style>
  <w:style w:type="paragraph" w:styleId="8">
    <w:name w:val="List Paragraph"/>
    <w:basedOn w:val="1"/>
    <w:qFormat/>
    <w:uiPriority w:val="34"/>
    <w:pPr>
      <w:ind w:firstLine="420" w:firstLineChars="200"/>
    </w:pPr>
  </w:style>
  <w:style w:type="character" w:customStyle="1" w:styleId="9">
    <w:name w:val="font91"/>
    <w:basedOn w:val="4"/>
    <w:qFormat/>
    <w:uiPriority w:val="0"/>
    <w:rPr>
      <w:rFonts w:hint="eastAsia" w:ascii="宋体" w:hAnsi="宋体" w:eastAsia="宋体"/>
      <w:b/>
      <w:bCs/>
      <w:color w:val="000000"/>
      <w:sz w:val="28"/>
      <w:szCs w:val="2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8"/>
    <customShpInfo spid="_x0000_s1036"/>
    <customShpInfo spid="_x0000_s1039"/>
    <customShpInfo spid="_x0000_s1037"/>
    <customShpInfo spid="_x0000_s1026"/>
    <customShpInfo spid="_x0000_s1030"/>
    <customShpInfo spid="_x0000_s1031"/>
    <customShpInfo spid="_x0000_s1027"/>
    <customShpInfo spid="_x0000_s1046"/>
    <customShpInfo spid="_x0000_s1048"/>
    <customShpInfo spid="_x0000_s1044"/>
    <customShpInfo spid="_x0000_s1043"/>
    <customShpInfo spid="_x0000_s1045"/>
    <customShpInfo spid="_x0000_s1040"/>
    <customShpInfo spid="_x0000_s1029"/>
    <customShpInfo spid="_x0000_s1032"/>
    <customShpInfo spid="_x0000_s1064"/>
    <customShpInfo spid="_x0000_s1063"/>
    <customShpInfo spid="_x0000_s1062"/>
    <customShpInfo spid="_x0000_s1065"/>
    <customShpInfo spid="_x0000_s1061"/>
    <customShpInfo spid="_x0000_s1060"/>
    <customShpInfo spid="_x0000_s1057"/>
    <customShpInfo spid="_x0000_s1055"/>
    <customShpInfo spid="_x0000_s1053"/>
    <customShpInfo spid="_x0000_s1052"/>
    <customShpInfo spid="_x0000_s1051"/>
    <customShpInfo spid="_x0000_s1050"/>
    <customShpInfo spid="_x0000_s1056"/>
    <customShpInfo spid="_x0000_s1058"/>
    <customShpInfo spid="_x0000_s1059"/>
    <customShpInfo spid="_x0000_s1035"/>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1428</Words>
  <Characters>8142</Characters>
  <Lines>67</Lines>
  <Paragraphs>19</Paragraphs>
  <TotalTime>120</TotalTime>
  <ScaleCrop>false</ScaleCrop>
  <LinksUpToDate>false</LinksUpToDate>
  <CharactersWithSpaces>9551</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2018-10-25T12:25:00Z</dcterms:created>
  <dc:creator>Administrator</dc:creator>
  <cp:lastModifiedBy>财经刘兴录</cp:lastModifiedBy>
  <dcterms:modified xsi:type="dcterms:W3CDTF">2018-10-25T15:23:19Z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